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7530" w14:textId="77777777" w:rsidR="00D3328D" w:rsidRPr="00D95207" w:rsidRDefault="00D95207" w:rsidP="00D95207">
      <w:pPr>
        <w:jc w:val="center"/>
        <w:rPr>
          <w:b/>
          <w:sz w:val="28"/>
        </w:rPr>
      </w:pPr>
      <w:bookmarkStart w:id="0" w:name="_GoBack"/>
      <w:bookmarkEnd w:id="0"/>
      <w:r>
        <w:rPr>
          <w:b/>
          <w:noProof/>
        </w:rPr>
        <w:drawing>
          <wp:anchor distT="0" distB="0" distL="114300" distR="114300" simplePos="0" relativeHeight="251660288" behindDoc="0" locked="0" layoutInCell="1" allowOverlap="1" wp14:anchorId="2D3D7684" wp14:editId="2D3D7685">
            <wp:simplePos x="0" y="0"/>
            <wp:positionH relativeFrom="column">
              <wp:posOffset>-390525</wp:posOffset>
            </wp:positionH>
            <wp:positionV relativeFrom="paragraph">
              <wp:posOffset>-399415</wp:posOffset>
            </wp:positionV>
            <wp:extent cx="923290" cy="961390"/>
            <wp:effectExtent l="19050" t="0" r="0" b="0"/>
            <wp:wrapNone/>
            <wp:docPr id="5" name="Picture 5" descr="\\x101account.ccbuti.net\home$\lrainville\My Documents\Logos\CC  Logo Photoshop\CC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101account.ccbuti.net\home$\lrainville\My Documents\Logos\CC  Logo Photoshop\CClogo Color.jpg"/>
                    <pic:cNvPicPr>
                      <a:picLocks noChangeAspect="1" noChangeArrowheads="1"/>
                    </pic:cNvPicPr>
                  </pic:nvPicPr>
                  <pic:blipFill>
                    <a:blip r:embed="rId10" cstate="print"/>
                    <a:srcRect/>
                    <a:stretch>
                      <a:fillRect/>
                    </a:stretch>
                  </pic:blipFill>
                  <pic:spPr bwMode="auto">
                    <a:xfrm>
                      <a:off x="0" y="0"/>
                      <a:ext cx="923290" cy="961390"/>
                    </a:xfrm>
                    <a:prstGeom prst="rect">
                      <a:avLst/>
                    </a:prstGeom>
                    <a:noFill/>
                    <a:ln w="9525">
                      <a:noFill/>
                      <a:miter lim="800000"/>
                      <a:headEnd/>
                      <a:tailEnd/>
                    </a:ln>
                  </pic:spPr>
                </pic:pic>
              </a:graphicData>
            </a:graphic>
          </wp:anchor>
        </w:drawing>
      </w:r>
      <w:r w:rsidRPr="00D95207">
        <w:rPr>
          <w:b/>
          <w:noProof/>
        </w:rPr>
        <w:t>COW CREEK GOVERNMENT OFFICE</w:t>
      </w:r>
    </w:p>
    <w:p w14:paraId="2D3D7531" w14:textId="77777777" w:rsidR="005928BB" w:rsidRDefault="005928BB" w:rsidP="0050187F">
      <w:pPr>
        <w:jc w:val="center"/>
        <w:rPr>
          <w:b/>
          <w:sz w:val="28"/>
        </w:rPr>
      </w:pPr>
    </w:p>
    <w:p w14:paraId="2D3D7532" w14:textId="77777777" w:rsidR="00D95207" w:rsidRDefault="00D95207" w:rsidP="0050187F">
      <w:pPr>
        <w:jc w:val="center"/>
        <w:rPr>
          <w:b/>
          <w:sz w:val="28"/>
        </w:rPr>
      </w:pPr>
    </w:p>
    <w:p w14:paraId="2D3D7533" w14:textId="77777777" w:rsidR="00D3328D" w:rsidRDefault="00D3328D">
      <w:pPr>
        <w:pStyle w:val="Heading1"/>
      </w:pPr>
      <w:r>
        <w:t>POLICY – PROCEDURE</w:t>
      </w:r>
    </w:p>
    <w:p w14:paraId="2D3D7534" w14:textId="77777777" w:rsidR="00D3328D" w:rsidRDefault="00D3328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D3328D" w14:paraId="2D3D753E" w14:textId="77777777">
        <w:tc>
          <w:tcPr>
            <w:tcW w:w="2952" w:type="dxa"/>
          </w:tcPr>
          <w:p w14:paraId="2D3D7535" w14:textId="77777777" w:rsidR="00D3328D" w:rsidRDefault="00D3328D">
            <w:pPr>
              <w:rPr>
                <w:b/>
              </w:rPr>
            </w:pPr>
            <w:r>
              <w:rPr>
                <w:b/>
              </w:rPr>
              <w:t>SUBJECT:</w:t>
            </w:r>
          </w:p>
          <w:p w14:paraId="2D3D7537" w14:textId="4DC5DC4E" w:rsidR="00D3328D" w:rsidRDefault="009D0187">
            <w:pPr>
              <w:rPr>
                <w:b/>
              </w:rPr>
            </w:pPr>
            <w:r>
              <w:rPr>
                <w:b/>
              </w:rPr>
              <w:t>Low Income Home Energy Assistance Program (LIHEAP)</w:t>
            </w:r>
          </w:p>
        </w:tc>
        <w:tc>
          <w:tcPr>
            <w:tcW w:w="2952" w:type="dxa"/>
          </w:tcPr>
          <w:p w14:paraId="2D3D7538" w14:textId="77777777" w:rsidR="00D3328D" w:rsidRDefault="00D3328D">
            <w:pPr>
              <w:rPr>
                <w:b/>
              </w:rPr>
            </w:pPr>
            <w:r>
              <w:rPr>
                <w:b/>
              </w:rPr>
              <w:t>WRITTEN BY:</w:t>
            </w:r>
          </w:p>
          <w:p w14:paraId="2D3D753A" w14:textId="09461180" w:rsidR="00D95207" w:rsidRDefault="001D5841">
            <w:pPr>
              <w:rPr>
                <w:b/>
              </w:rPr>
            </w:pPr>
            <w:r>
              <w:rPr>
                <w:b/>
              </w:rPr>
              <w:t>Human Resources</w:t>
            </w:r>
          </w:p>
        </w:tc>
        <w:tc>
          <w:tcPr>
            <w:tcW w:w="2952" w:type="dxa"/>
          </w:tcPr>
          <w:p w14:paraId="2D3D753B" w14:textId="77777777" w:rsidR="00D3328D" w:rsidRDefault="00D3328D">
            <w:pPr>
              <w:rPr>
                <w:b/>
              </w:rPr>
            </w:pPr>
            <w:r>
              <w:rPr>
                <w:b/>
              </w:rPr>
              <w:t>EFFECTIVE DATE:</w:t>
            </w:r>
          </w:p>
          <w:p w14:paraId="2D3D753D" w14:textId="5F0D4377" w:rsidR="00D3328D" w:rsidRDefault="00D3328D" w:rsidP="00D95207">
            <w:pPr>
              <w:rPr>
                <w:b/>
              </w:rPr>
            </w:pPr>
          </w:p>
        </w:tc>
      </w:tr>
      <w:tr w:rsidR="00D3328D" w14:paraId="2D3D7546" w14:textId="77777777">
        <w:trPr>
          <w:trHeight w:val="440"/>
        </w:trPr>
        <w:tc>
          <w:tcPr>
            <w:tcW w:w="2952" w:type="dxa"/>
          </w:tcPr>
          <w:p w14:paraId="2D3D753F" w14:textId="77777777" w:rsidR="00D3328D" w:rsidRDefault="00D3328D">
            <w:pPr>
              <w:rPr>
                <w:b/>
              </w:rPr>
            </w:pPr>
            <w:r>
              <w:rPr>
                <w:b/>
              </w:rPr>
              <w:t>APPLIES TO:</w:t>
            </w:r>
          </w:p>
          <w:p w14:paraId="2D3D7540" w14:textId="3AA171AE" w:rsidR="00D3328D" w:rsidRDefault="009D0187">
            <w:pPr>
              <w:rPr>
                <w:b/>
              </w:rPr>
            </w:pPr>
            <w:r>
              <w:rPr>
                <w:b/>
              </w:rPr>
              <w:t>(LIHEAP)</w:t>
            </w:r>
          </w:p>
          <w:p w14:paraId="2D3D7541" w14:textId="77777777" w:rsidR="00D3328D" w:rsidRDefault="00D3328D">
            <w:pPr>
              <w:rPr>
                <w:b/>
              </w:rPr>
            </w:pPr>
          </w:p>
        </w:tc>
        <w:tc>
          <w:tcPr>
            <w:tcW w:w="2952" w:type="dxa"/>
          </w:tcPr>
          <w:p w14:paraId="2D3D7542" w14:textId="77777777" w:rsidR="00D3328D" w:rsidRDefault="00D3328D">
            <w:pPr>
              <w:rPr>
                <w:b/>
              </w:rPr>
            </w:pPr>
            <w:r>
              <w:rPr>
                <w:b/>
              </w:rPr>
              <w:t>PREVIOUS REVISION DATE:</w:t>
            </w:r>
          </w:p>
          <w:p w14:paraId="2D3D7543" w14:textId="5F47062E" w:rsidR="00D3328D" w:rsidRDefault="00FB63A2">
            <w:pPr>
              <w:rPr>
                <w:b/>
              </w:rPr>
            </w:pPr>
            <w:r>
              <w:rPr>
                <w:b/>
              </w:rPr>
              <w:t>February 3, 2016</w:t>
            </w:r>
          </w:p>
        </w:tc>
        <w:tc>
          <w:tcPr>
            <w:tcW w:w="2952" w:type="dxa"/>
          </w:tcPr>
          <w:p w14:paraId="2D3D7544" w14:textId="77777777" w:rsidR="00D3328D" w:rsidRDefault="00D3328D">
            <w:pPr>
              <w:rPr>
                <w:b/>
              </w:rPr>
            </w:pPr>
            <w:r>
              <w:rPr>
                <w:b/>
              </w:rPr>
              <w:t>NUMBER OF PAGES:</w:t>
            </w:r>
          </w:p>
          <w:p w14:paraId="2D3D7545" w14:textId="7AC1029D" w:rsidR="00D3328D" w:rsidRDefault="00C53DFB" w:rsidP="004C1610">
            <w:pPr>
              <w:rPr>
                <w:b/>
              </w:rPr>
            </w:pPr>
            <w:r>
              <w:rPr>
                <w:b/>
              </w:rPr>
              <w:t>3</w:t>
            </w:r>
          </w:p>
        </w:tc>
      </w:tr>
    </w:tbl>
    <w:p w14:paraId="2D3D7547" w14:textId="77777777" w:rsidR="00D3328D" w:rsidRDefault="00D3328D">
      <w:pPr>
        <w:pStyle w:val="BodyText"/>
        <w:rPr>
          <w:sz w:val="24"/>
          <w:szCs w:val="24"/>
        </w:rPr>
      </w:pPr>
    </w:p>
    <w:p w14:paraId="2D3D7548" w14:textId="77777777" w:rsidR="0050187F" w:rsidRDefault="00D3328D">
      <w:pPr>
        <w:pStyle w:val="BodyText"/>
        <w:rPr>
          <w:b/>
          <w:sz w:val="24"/>
          <w:szCs w:val="24"/>
        </w:rPr>
      </w:pPr>
      <w:r w:rsidRPr="0050187F">
        <w:rPr>
          <w:b/>
          <w:sz w:val="24"/>
          <w:szCs w:val="24"/>
        </w:rPr>
        <w:t xml:space="preserve">POLICY: </w:t>
      </w:r>
    </w:p>
    <w:p w14:paraId="2D3D7549" w14:textId="77777777" w:rsidR="0050187F" w:rsidRDefault="0050187F">
      <w:pPr>
        <w:pStyle w:val="BodyText"/>
        <w:rPr>
          <w:b/>
          <w:sz w:val="24"/>
          <w:szCs w:val="24"/>
        </w:rPr>
      </w:pPr>
    </w:p>
    <w:p w14:paraId="5E92F5C7" w14:textId="29B67924" w:rsidR="009D0187" w:rsidRPr="008C6BE1" w:rsidRDefault="009D0187">
      <w:pPr>
        <w:pStyle w:val="BodyText"/>
        <w:rPr>
          <w:b/>
          <w:i/>
          <w:sz w:val="24"/>
          <w:szCs w:val="24"/>
        </w:rPr>
      </w:pPr>
      <w:r w:rsidRPr="008C6BE1">
        <w:rPr>
          <w:b/>
          <w:i/>
          <w:sz w:val="24"/>
          <w:szCs w:val="24"/>
        </w:rPr>
        <w:t>To provide income eligible Tribal households with energy assistance</w:t>
      </w:r>
      <w:r w:rsidR="008C6BE1" w:rsidRPr="008C6BE1">
        <w:rPr>
          <w:b/>
          <w:i/>
          <w:sz w:val="24"/>
          <w:szCs w:val="24"/>
        </w:rPr>
        <w:t xml:space="preserve"> (</w:t>
      </w:r>
      <w:r w:rsidR="008C6BE1">
        <w:rPr>
          <w:b/>
          <w:i/>
          <w:sz w:val="24"/>
          <w:szCs w:val="24"/>
        </w:rPr>
        <w:t xml:space="preserve">year-round, </w:t>
      </w:r>
      <w:r w:rsidR="008C6BE1" w:rsidRPr="008C6BE1">
        <w:rPr>
          <w:b/>
          <w:i/>
          <w:sz w:val="24"/>
          <w:szCs w:val="24"/>
        </w:rPr>
        <w:t>heating and/or emergency)</w:t>
      </w:r>
      <w:r w:rsidRPr="008C6BE1">
        <w:rPr>
          <w:b/>
          <w:i/>
          <w:sz w:val="24"/>
          <w:szCs w:val="24"/>
        </w:rPr>
        <w:t xml:space="preserve"> payments for electric, gas, propane, wood and pellets</w:t>
      </w:r>
      <w:r w:rsidR="00181D5E" w:rsidRPr="008C6BE1">
        <w:rPr>
          <w:b/>
          <w:i/>
          <w:sz w:val="24"/>
          <w:szCs w:val="24"/>
        </w:rPr>
        <w:t>, utilizing service 1x/service year</w:t>
      </w:r>
      <w:r w:rsidRPr="008C6BE1">
        <w:rPr>
          <w:b/>
          <w:i/>
          <w:sz w:val="24"/>
          <w:szCs w:val="24"/>
        </w:rPr>
        <w:t>.</w:t>
      </w:r>
      <w:r w:rsidR="00FB63A2">
        <w:rPr>
          <w:b/>
          <w:i/>
          <w:sz w:val="24"/>
          <w:szCs w:val="24"/>
        </w:rPr>
        <w:t xml:space="preserve"> Priority is given to Elderly</w:t>
      </w:r>
      <w:r w:rsidR="008C6BE1">
        <w:rPr>
          <w:b/>
          <w:i/>
          <w:sz w:val="24"/>
          <w:szCs w:val="24"/>
        </w:rPr>
        <w:t xml:space="preserve">, Youth, and </w:t>
      </w:r>
      <w:r w:rsidR="00FB63A2">
        <w:rPr>
          <w:b/>
          <w:i/>
          <w:sz w:val="24"/>
          <w:szCs w:val="24"/>
        </w:rPr>
        <w:t xml:space="preserve">Disabled Tribal members. </w:t>
      </w:r>
    </w:p>
    <w:p w14:paraId="71276812" w14:textId="77777777" w:rsidR="003D0C73" w:rsidRDefault="003D0C73">
      <w:pPr>
        <w:pStyle w:val="BodyText"/>
        <w:rPr>
          <w:sz w:val="24"/>
          <w:szCs w:val="24"/>
        </w:rPr>
      </w:pPr>
    </w:p>
    <w:p w14:paraId="49557B8D" w14:textId="6A04ACA6" w:rsidR="003D0C73" w:rsidRPr="00FB63A2" w:rsidRDefault="003D0C73">
      <w:pPr>
        <w:pStyle w:val="BodyText"/>
        <w:rPr>
          <w:b/>
          <w:sz w:val="24"/>
          <w:szCs w:val="24"/>
        </w:rPr>
      </w:pPr>
      <w:r w:rsidRPr="003D0C73">
        <w:rPr>
          <w:b/>
          <w:sz w:val="24"/>
          <w:szCs w:val="24"/>
        </w:rPr>
        <w:t>DEFINITIONS:</w:t>
      </w:r>
    </w:p>
    <w:p w14:paraId="7511EAF1" w14:textId="6CFF978A" w:rsidR="003D0C73" w:rsidRDefault="003D0C73">
      <w:pPr>
        <w:pStyle w:val="BodyText"/>
        <w:rPr>
          <w:sz w:val="24"/>
          <w:szCs w:val="24"/>
        </w:rPr>
      </w:pPr>
      <w:r w:rsidRPr="003D0C73">
        <w:rPr>
          <w:b/>
          <w:sz w:val="24"/>
          <w:szCs w:val="24"/>
        </w:rPr>
        <w:t>Administrative Costs-</w:t>
      </w:r>
      <w:r>
        <w:rPr>
          <w:sz w:val="24"/>
          <w:szCs w:val="24"/>
        </w:rPr>
        <w:t xml:space="preserve"> Costs are assessed towards the management of the grant, as well as direct service/contact time with LIHEAP clients. This will include salaries and fringe. </w:t>
      </w:r>
    </w:p>
    <w:p w14:paraId="697A0DC3" w14:textId="77777777" w:rsidR="00D97482" w:rsidRDefault="00D97482">
      <w:pPr>
        <w:pStyle w:val="BodyText"/>
        <w:rPr>
          <w:sz w:val="24"/>
          <w:szCs w:val="24"/>
        </w:rPr>
      </w:pPr>
    </w:p>
    <w:p w14:paraId="0A6EF199" w14:textId="2F6ADD03" w:rsidR="00D97482" w:rsidRDefault="00D97482">
      <w:pPr>
        <w:pStyle w:val="BodyText"/>
        <w:rPr>
          <w:sz w:val="24"/>
          <w:szCs w:val="24"/>
        </w:rPr>
      </w:pPr>
      <w:r w:rsidRPr="00DC79D5">
        <w:rPr>
          <w:b/>
          <w:sz w:val="24"/>
          <w:szCs w:val="24"/>
        </w:rPr>
        <w:t>Crisis-</w:t>
      </w:r>
      <w:r>
        <w:rPr>
          <w:sz w:val="24"/>
          <w:szCs w:val="24"/>
        </w:rPr>
        <w:t xml:space="preserve"> </w:t>
      </w:r>
      <w:r w:rsidR="00DC79D5">
        <w:rPr>
          <w:sz w:val="24"/>
          <w:szCs w:val="24"/>
        </w:rPr>
        <w:t xml:space="preserve">This exists when a household faces a sudden or unexpected event beyond their control resulting in the inability to pay household heating costs. </w:t>
      </w:r>
      <w:r w:rsidR="00FB63A2">
        <w:rPr>
          <w:sz w:val="24"/>
          <w:szCs w:val="24"/>
        </w:rPr>
        <w:t xml:space="preserve">Resolving of Crisis is to be done within 48 hours. </w:t>
      </w:r>
      <w:r w:rsidR="00DC79D5">
        <w:rPr>
          <w:sz w:val="24"/>
          <w:szCs w:val="24"/>
        </w:rPr>
        <w:t>Below are some examples:</w:t>
      </w:r>
    </w:p>
    <w:p w14:paraId="66189523" w14:textId="3C613A66" w:rsidR="00DC79D5" w:rsidRDefault="00DC79D5">
      <w:pPr>
        <w:pStyle w:val="BodyText"/>
        <w:rPr>
          <w:sz w:val="24"/>
          <w:szCs w:val="24"/>
        </w:rPr>
      </w:pPr>
      <w:r>
        <w:rPr>
          <w:sz w:val="24"/>
          <w:szCs w:val="24"/>
        </w:rPr>
        <w:tab/>
        <w:t>*Medical conditions</w:t>
      </w:r>
      <w:r>
        <w:rPr>
          <w:sz w:val="24"/>
          <w:szCs w:val="24"/>
        </w:rPr>
        <w:tab/>
        <w:t>*Sudden job loss or other benefits, income</w:t>
      </w:r>
    </w:p>
    <w:p w14:paraId="7514DCA2" w14:textId="17FBBA98" w:rsidR="00DC79D5" w:rsidRDefault="00DC79D5">
      <w:pPr>
        <w:pStyle w:val="BodyText"/>
        <w:rPr>
          <w:sz w:val="24"/>
          <w:szCs w:val="24"/>
        </w:rPr>
      </w:pPr>
      <w:r>
        <w:rPr>
          <w:sz w:val="24"/>
          <w:szCs w:val="24"/>
        </w:rPr>
        <w:tab/>
        <w:t>*Heating equipment malfunction</w:t>
      </w:r>
      <w:r>
        <w:rPr>
          <w:sz w:val="24"/>
          <w:szCs w:val="24"/>
        </w:rPr>
        <w:tab/>
        <w:t>*Domesti</w:t>
      </w:r>
      <w:r w:rsidR="00E71107">
        <w:rPr>
          <w:sz w:val="24"/>
          <w:szCs w:val="24"/>
        </w:rPr>
        <w:t>c violence</w:t>
      </w:r>
      <w:r w:rsidR="00E71107">
        <w:rPr>
          <w:sz w:val="24"/>
          <w:szCs w:val="24"/>
        </w:rPr>
        <w:tab/>
        <w:t>*Shut off notice</w:t>
      </w:r>
    </w:p>
    <w:p w14:paraId="11044CB6" w14:textId="77777777" w:rsidR="003D0C73" w:rsidRDefault="003D0C73">
      <w:pPr>
        <w:pStyle w:val="BodyText"/>
        <w:rPr>
          <w:sz w:val="24"/>
          <w:szCs w:val="24"/>
        </w:rPr>
      </w:pPr>
    </w:p>
    <w:p w14:paraId="24657688" w14:textId="0E2F2C03" w:rsidR="003D0C73" w:rsidRDefault="003D0C73">
      <w:pPr>
        <w:pStyle w:val="BodyText"/>
        <w:rPr>
          <w:sz w:val="24"/>
          <w:szCs w:val="24"/>
        </w:rPr>
      </w:pPr>
      <w:r w:rsidRPr="003D0C73">
        <w:rPr>
          <w:b/>
          <w:sz w:val="24"/>
          <w:szCs w:val="24"/>
        </w:rPr>
        <w:t>Expenditures-</w:t>
      </w:r>
      <w:r>
        <w:rPr>
          <w:sz w:val="24"/>
          <w:szCs w:val="24"/>
        </w:rPr>
        <w:t xml:space="preserve"> Expenditures are based off reporting of actuals, when the check is issued and sent to the energy provider.</w:t>
      </w:r>
    </w:p>
    <w:p w14:paraId="1BE68BC1" w14:textId="77777777" w:rsidR="00D97482" w:rsidRDefault="00D97482">
      <w:pPr>
        <w:pStyle w:val="BodyText"/>
        <w:rPr>
          <w:sz w:val="24"/>
          <w:szCs w:val="24"/>
        </w:rPr>
      </w:pPr>
    </w:p>
    <w:p w14:paraId="768C1A64" w14:textId="021267A5" w:rsidR="00D97482" w:rsidRDefault="00D97482">
      <w:pPr>
        <w:pStyle w:val="BodyText"/>
        <w:rPr>
          <w:sz w:val="24"/>
          <w:szCs w:val="24"/>
        </w:rPr>
      </w:pPr>
      <w:r w:rsidRPr="00DC79D5">
        <w:rPr>
          <w:b/>
          <w:sz w:val="24"/>
          <w:szCs w:val="24"/>
        </w:rPr>
        <w:t>Income-</w:t>
      </w:r>
      <w:r>
        <w:rPr>
          <w:sz w:val="24"/>
          <w:szCs w:val="24"/>
        </w:rPr>
        <w:t xml:space="preserve"> The Tribe </w:t>
      </w:r>
      <w:r w:rsidR="008441D5">
        <w:rPr>
          <w:sz w:val="24"/>
          <w:szCs w:val="24"/>
        </w:rPr>
        <w:t>considers all applicable income sources and how it relates to their gross income and the household’s income eligibility.</w:t>
      </w:r>
    </w:p>
    <w:p w14:paraId="27313B2B" w14:textId="77777777" w:rsidR="00D97482" w:rsidRDefault="00D97482">
      <w:pPr>
        <w:pStyle w:val="BodyText"/>
        <w:rPr>
          <w:sz w:val="24"/>
          <w:szCs w:val="24"/>
        </w:rPr>
      </w:pPr>
    </w:p>
    <w:p w14:paraId="26B7AC9A" w14:textId="31AD8CF0" w:rsidR="00D97482" w:rsidRDefault="00D97482">
      <w:pPr>
        <w:pStyle w:val="BodyText"/>
        <w:rPr>
          <w:sz w:val="24"/>
          <w:szCs w:val="24"/>
        </w:rPr>
      </w:pPr>
      <w:r w:rsidRPr="00DC79D5">
        <w:rPr>
          <w:b/>
          <w:sz w:val="24"/>
          <w:szCs w:val="24"/>
        </w:rPr>
        <w:t>Life threatening Crisis-</w:t>
      </w:r>
      <w:r w:rsidR="00DC79D5">
        <w:rPr>
          <w:sz w:val="24"/>
          <w:szCs w:val="24"/>
        </w:rPr>
        <w:t xml:space="preserve"> This exists when a household member(s) health and/or well being would likely be endangered if assistance is not provided, such as in extreme cold, or supply shortage of fuels.</w:t>
      </w:r>
      <w:r w:rsidR="00FB63A2">
        <w:rPr>
          <w:sz w:val="24"/>
          <w:szCs w:val="24"/>
        </w:rPr>
        <w:t xml:space="preserve"> Resolving of the life threatening crisis is to be done within 18 hours.</w:t>
      </w:r>
    </w:p>
    <w:p w14:paraId="43976455" w14:textId="77777777" w:rsidR="003D0C73" w:rsidRDefault="003D0C73">
      <w:pPr>
        <w:pStyle w:val="BodyText"/>
        <w:rPr>
          <w:sz w:val="24"/>
          <w:szCs w:val="24"/>
        </w:rPr>
      </w:pPr>
    </w:p>
    <w:p w14:paraId="21F0D836" w14:textId="42B814B4" w:rsidR="003D0C73" w:rsidRDefault="003D0C73">
      <w:pPr>
        <w:pStyle w:val="BodyText"/>
        <w:rPr>
          <w:sz w:val="24"/>
          <w:szCs w:val="24"/>
        </w:rPr>
      </w:pPr>
      <w:r w:rsidRPr="003D0C73">
        <w:rPr>
          <w:b/>
          <w:sz w:val="24"/>
          <w:szCs w:val="24"/>
        </w:rPr>
        <w:t>Obligations-</w:t>
      </w:r>
      <w:r>
        <w:rPr>
          <w:sz w:val="24"/>
          <w:szCs w:val="24"/>
        </w:rPr>
        <w:t xml:space="preserve"> Obligations of the Tribal LIHEAP program are acknowledged at the time of a signed and approved application through the OPUS system. </w:t>
      </w:r>
    </w:p>
    <w:p w14:paraId="1F6A36A9" w14:textId="77777777" w:rsidR="00DC79D5" w:rsidRDefault="00DC79D5">
      <w:pPr>
        <w:pStyle w:val="BodyText"/>
        <w:rPr>
          <w:sz w:val="24"/>
          <w:szCs w:val="24"/>
        </w:rPr>
      </w:pPr>
    </w:p>
    <w:p w14:paraId="48BFA22C" w14:textId="6FED31C8" w:rsidR="00DC79D5" w:rsidRDefault="00DC79D5">
      <w:pPr>
        <w:pStyle w:val="BodyText"/>
        <w:rPr>
          <w:b/>
          <w:sz w:val="24"/>
          <w:szCs w:val="24"/>
        </w:rPr>
      </w:pPr>
      <w:r w:rsidRPr="008C6BE1">
        <w:rPr>
          <w:b/>
          <w:sz w:val="24"/>
          <w:szCs w:val="24"/>
        </w:rPr>
        <w:t xml:space="preserve">(For more definitions, please refer to the most current LIHEAP </w:t>
      </w:r>
      <w:r w:rsidR="008C6BE1" w:rsidRPr="008C6BE1">
        <w:rPr>
          <w:b/>
          <w:sz w:val="24"/>
          <w:szCs w:val="24"/>
        </w:rPr>
        <w:t>&amp; OEAP Intake Operations Manual, pages 7.5 – 7.8.)</w:t>
      </w:r>
    </w:p>
    <w:p w14:paraId="799BB838" w14:textId="77777777" w:rsidR="008C6BE1" w:rsidRPr="008C6BE1" w:rsidRDefault="008C6BE1">
      <w:pPr>
        <w:pStyle w:val="BodyText"/>
        <w:rPr>
          <w:b/>
          <w:sz w:val="24"/>
          <w:szCs w:val="24"/>
        </w:rPr>
      </w:pPr>
    </w:p>
    <w:p w14:paraId="7F3DBA46" w14:textId="77777777" w:rsidR="009D0187" w:rsidRPr="009D0187" w:rsidRDefault="009D0187">
      <w:pPr>
        <w:pStyle w:val="BodyText"/>
        <w:rPr>
          <w:sz w:val="24"/>
          <w:szCs w:val="24"/>
        </w:rPr>
      </w:pPr>
    </w:p>
    <w:p w14:paraId="4D8D7623" w14:textId="50D86138" w:rsidR="003D7F2A" w:rsidRDefault="00D3328D">
      <w:pPr>
        <w:rPr>
          <w:b/>
        </w:rPr>
      </w:pPr>
      <w:r w:rsidRPr="0050187F">
        <w:rPr>
          <w:b/>
        </w:rPr>
        <w:t>PROCEDURE GUIDELINES:</w:t>
      </w:r>
    </w:p>
    <w:p w14:paraId="091D3CC1" w14:textId="77777777" w:rsidR="00372458" w:rsidRPr="008C6BE1" w:rsidRDefault="00372458" w:rsidP="003D7F2A">
      <w:pPr>
        <w:pStyle w:val="ListParagraph"/>
        <w:numPr>
          <w:ilvl w:val="0"/>
          <w:numId w:val="7"/>
        </w:numPr>
      </w:pPr>
      <w:r w:rsidRPr="008C6BE1">
        <w:t>A. New Clients- Client acquires Tribal LIHEAP application via the following:</w:t>
      </w:r>
    </w:p>
    <w:p w14:paraId="2ACB529F" w14:textId="77777777" w:rsidR="00372458" w:rsidRDefault="00372458" w:rsidP="00372458">
      <w:pPr>
        <w:pStyle w:val="ListParagraph"/>
        <w:numPr>
          <w:ilvl w:val="1"/>
          <w:numId w:val="7"/>
        </w:numPr>
      </w:pPr>
      <w:r>
        <w:t>In person at Tribal Government Offices</w:t>
      </w:r>
    </w:p>
    <w:p w14:paraId="48612E03" w14:textId="77777777" w:rsidR="00372458" w:rsidRDefault="00372458" w:rsidP="00372458">
      <w:pPr>
        <w:pStyle w:val="ListParagraph"/>
        <w:numPr>
          <w:ilvl w:val="1"/>
          <w:numId w:val="7"/>
        </w:numPr>
      </w:pPr>
      <w:r>
        <w:t>Tribal website</w:t>
      </w:r>
    </w:p>
    <w:p w14:paraId="4BCCEA70" w14:textId="77777777" w:rsidR="00372458" w:rsidRDefault="00372458" w:rsidP="00372458">
      <w:pPr>
        <w:pStyle w:val="ListParagraph"/>
        <w:numPr>
          <w:ilvl w:val="1"/>
          <w:numId w:val="7"/>
        </w:numPr>
      </w:pPr>
      <w:r>
        <w:t>Mail (standard and/or electronically)</w:t>
      </w:r>
    </w:p>
    <w:p w14:paraId="3189D7D3" w14:textId="02250C8F" w:rsidR="00372458" w:rsidRDefault="00372458" w:rsidP="00372458">
      <w:pPr>
        <w:ind w:left="720"/>
      </w:pPr>
      <w:r>
        <w:t xml:space="preserve">B.  Pre-existing Clients </w:t>
      </w:r>
      <w:r w:rsidR="00CE5696">
        <w:t xml:space="preserve">not </w:t>
      </w:r>
      <w:r>
        <w:t xml:space="preserve">in OPUS management system – Clients obtain Tribal </w:t>
      </w:r>
    </w:p>
    <w:p w14:paraId="28938B52" w14:textId="6FF90C38" w:rsidR="00372458" w:rsidRDefault="00372458" w:rsidP="00372458">
      <w:pPr>
        <w:ind w:left="720"/>
      </w:pPr>
      <w:r>
        <w:t xml:space="preserve">      LIHEAP application as in IA. if significant changes in Residence and/or </w:t>
      </w:r>
    </w:p>
    <w:p w14:paraId="06283A7D" w14:textId="556EA50F" w:rsidR="003D7F2A" w:rsidRDefault="00372458" w:rsidP="00372458">
      <w:pPr>
        <w:ind w:left="720"/>
      </w:pPr>
      <w:r>
        <w:t xml:space="preserve">      Household have occurred </w:t>
      </w:r>
    </w:p>
    <w:p w14:paraId="2FD02822" w14:textId="43436E76" w:rsidR="009511D4" w:rsidRDefault="009511D4" w:rsidP="00372458">
      <w:pPr>
        <w:ind w:left="720"/>
      </w:pPr>
      <w:r>
        <w:t xml:space="preserve">C.  Pre-existing Clients in OPUS – Clients only need to provide updated </w:t>
      </w:r>
    </w:p>
    <w:p w14:paraId="1A156EAC" w14:textId="307C40D2" w:rsidR="009511D4" w:rsidRDefault="009511D4" w:rsidP="00372458">
      <w:pPr>
        <w:ind w:left="720"/>
      </w:pPr>
      <w:r>
        <w:t xml:space="preserve">      Information on Income, </w:t>
      </w:r>
      <w:r w:rsidR="001F25F4">
        <w:t>Energy Statement(s), Residence, and  Household</w:t>
      </w:r>
    </w:p>
    <w:p w14:paraId="1E538B03" w14:textId="0DE9791F" w:rsidR="008C6BE1" w:rsidRDefault="001F25F4" w:rsidP="00FB63A2">
      <w:pPr>
        <w:ind w:left="720"/>
      </w:pPr>
      <w:r>
        <w:t xml:space="preserve">      </w:t>
      </w:r>
      <w:r w:rsidR="008C6BE1">
        <w:t>M</w:t>
      </w:r>
      <w:r>
        <w:t>akeup</w:t>
      </w:r>
    </w:p>
    <w:p w14:paraId="18167BB6" w14:textId="77777777" w:rsidR="00FB63A2" w:rsidRDefault="00FB63A2" w:rsidP="00FB63A2">
      <w:pPr>
        <w:ind w:left="720"/>
      </w:pPr>
    </w:p>
    <w:p w14:paraId="2A096483" w14:textId="2C7896BA" w:rsidR="003D7F2A" w:rsidRDefault="003D7F2A" w:rsidP="003D7F2A">
      <w:pPr>
        <w:pStyle w:val="ListParagraph"/>
        <w:numPr>
          <w:ilvl w:val="0"/>
          <w:numId w:val="7"/>
        </w:numPr>
      </w:pPr>
      <w:r>
        <w:t xml:space="preserve">Completed application returned to LIHEAP </w:t>
      </w:r>
      <w:r w:rsidR="001D5841">
        <w:t>Coordinator</w:t>
      </w:r>
      <w:r w:rsidR="001F25F4">
        <w:t xml:space="preserve"> (for IA and IB)</w:t>
      </w:r>
    </w:p>
    <w:p w14:paraId="70635E78" w14:textId="473F6D24" w:rsidR="003D7F2A" w:rsidRDefault="003D7F2A" w:rsidP="003D7F2A">
      <w:pPr>
        <w:pStyle w:val="ListParagraph"/>
        <w:numPr>
          <w:ilvl w:val="1"/>
          <w:numId w:val="7"/>
        </w:numPr>
      </w:pPr>
      <w:r>
        <w:t>Complete with client signature</w:t>
      </w:r>
    </w:p>
    <w:p w14:paraId="2F2C0819" w14:textId="3AA87A65" w:rsidR="003D7F2A" w:rsidRDefault="003D7F2A" w:rsidP="003D7F2A">
      <w:pPr>
        <w:pStyle w:val="ListParagraph"/>
        <w:numPr>
          <w:ilvl w:val="1"/>
          <w:numId w:val="7"/>
        </w:numPr>
      </w:pPr>
      <w:r>
        <w:t>Utility bill (or if wood or propane</w:t>
      </w:r>
      <w:r w:rsidR="001F25F4">
        <w:t>,</w:t>
      </w:r>
      <w:r>
        <w:t xml:space="preserve"> completed contract information)</w:t>
      </w:r>
    </w:p>
    <w:p w14:paraId="35AD69F5" w14:textId="6D4F3FAE" w:rsidR="003D7F2A" w:rsidRDefault="00FB63A2" w:rsidP="003D7F2A">
      <w:pPr>
        <w:pStyle w:val="ListParagraph"/>
        <w:numPr>
          <w:ilvl w:val="1"/>
          <w:numId w:val="7"/>
        </w:numPr>
      </w:pPr>
      <w:r>
        <w:t xml:space="preserve">Gross </w:t>
      </w:r>
      <w:r w:rsidR="003D7F2A">
        <w:t>Income verification</w:t>
      </w:r>
      <w:r w:rsidR="001F25F4">
        <w:t xml:space="preserve"> for all working household members (pay stubs for la</w:t>
      </w:r>
      <w:r w:rsidR="00E71107">
        <w:t>st 3 months, W2, Benefit</w:t>
      </w:r>
      <w:r w:rsidR="001F25F4">
        <w:t xml:space="preserve"> statement</w:t>
      </w:r>
      <w:r w:rsidR="00E71107">
        <w:t>s</w:t>
      </w:r>
      <w:r>
        <w:t xml:space="preserve"> from all income sources</w:t>
      </w:r>
      <w:r w:rsidR="001F25F4">
        <w:t>)</w:t>
      </w:r>
    </w:p>
    <w:p w14:paraId="56FC3684" w14:textId="6C6C3C3F" w:rsidR="003D7F2A" w:rsidRDefault="003D7F2A" w:rsidP="003D7F2A">
      <w:pPr>
        <w:pStyle w:val="ListParagraph"/>
        <w:numPr>
          <w:ilvl w:val="1"/>
          <w:numId w:val="7"/>
        </w:numPr>
      </w:pPr>
      <w:r>
        <w:t xml:space="preserve">Copy of all Social Security cards </w:t>
      </w:r>
      <w:r w:rsidR="001F25F4">
        <w:t xml:space="preserve">and photo ID (Tribal ID, Drivers License or ID) </w:t>
      </w:r>
      <w:r>
        <w:t>for all members of the household regardless of enrollment.</w:t>
      </w:r>
    </w:p>
    <w:p w14:paraId="4CD4B6B0" w14:textId="6B80A50B" w:rsidR="003D7F2A" w:rsidRDefault="003D7F2A" w:rsidP="003D7F2A">
      <w:pPr>
        <w:pStyle w:val="ListParagraph"/>
        <w:numPr>
          <w:ilvl w:val="1"/>
          <w:numId w:val="7"/>
        </w:numPr>
      </w:pPr>
      <w:r>
        <w:t>One Tribal Member of the household must be enrolled with the Cow Creek band of Umpqua Tribe of Indians to apply for the program.</w:t>
      </w:r>
    </w:p>
    <w:p w14:paraId="0F73E0B8" w14:textId="1133B056" w:rsidR="003D7F2A" w:rsidRDefault="003D7F2A" w:rsidP="003D7F2A">
      <w:pPr>
        <w:pStyle w:val="ListParagraph"/>
        <w:numPr>
          <w:ilvl w:val="1"/>
          <w:numId w:val="7"/>
        </w:numPr>
      </w:pPr>
      <w:r>
        <w:t xml:space="preserve">Live in the </w:t>
      </w:r>
      <w:r w:rsidR="001F25F4">
        <w:t xml:space="preserve">7 county </w:t>
      </w:r>
      <w:r>
        <w:t>service area</w:t>
      </w:r>
    </w:p>
    <w:p w14:paraId="41488BA9" w14:textId="5BCFD0A7" w:rsidR="003D7F2A" w:rsidRDefault="003D7F2A" w:rsidP="003D7F2A">
      <w:pPr>
        <w:pStyle w:val="ListParagraph"/>
        <w:numPr>
          <w:ilvl w:val="1"/>
          <w:numId w:val="7"/>
        </w:numPr>
      </w:pPr>
      <w:r>
        <w:t>Qualify by income Federal Poverty Rate Guidelines up to 150%</w:t>
      </w:r>
    </w:p>
    <w:p w14:paraId="7237A55D" w14:textId="4E8477D9" w:rsidR="003D7F2A" w:rsidRDefault="003D7F2A" w:rsidP="003D7F2A">
      <w:pPr>
        <w:pStyle w:val="ListParagraph"/>
        <w:numPr>
          <w:ilvl w:val="1"/>
          <w:numId w:val="7"/>
        </w:numPr>
      </w:pPr>
      <w:r>
        <w:t>Have a verifiable utility or source (wood/gas/oil/propane)</w:t>
      </w:r>
    </w:p>
    <w:p w14:paraId="2C388309" w14:textId="1480026B" w:rsidR="001F25F4" w:rsidRDefault="00FB63A2" w:rsidP="00FB63A2">
      <w:pPr>
        <w:pStyle w:val="ListParagraph"/>
        <w:numPr>
          <w:ilvl w:val="1"/>
          <w:numId w:val="7"/>
        </w:numPr>
      </w:pPr>
      <w:r>
        <w:t xml:space="preserve">Applications taken in chronologically, with priority given to Elders, Youth, and disabled. </w:t>
      </w:r>
    </w:p>
    <w:p w14:paraId="3194AAD8" w14:textId="77777777" w:rsidR="00FB63A2" w:rsidRDefault="00FB63A2" w:rsidP="00FB63A2">
      <w:pPr>
        <w:pStyle w:val="ListParagraph"/>
        <w:ind w:left="1440"/>
      </w:pPr>
    </w:p>
    <w:p w14:paraId="4AF6B039" w14:textId="45A79579" w:rsidR="003D7F2A" w:rsidRDefault="00684E75" w:rsidP="003D7F2A">
      <w:pPr>
        <w:pStyle w:val="ListParagraph"/>
        <w:numPr>
          <w:ilvl w:val="0"/>
          <w:numId w:val="7"/>
        </w:numPr>
      </w:pPr>
      <w:r>
        <w:t>Established OPUS applicants (conditions in II. Met to continue process)</w:t>
      </w:r>
      <w:r w:rsidR="003D7F2A">
        <w:tab/>
      </w:r>
    </w:p>
    <w:p w14:paraId="019C8848" w14:textId="74A49B32" w:rsidR="003D7F2A" w:rsidRDefault="00684E75" w:rsidP="003D7F2A">
      <w:pPr>
        <w:pStyle w:val="ListParagraph"/>
        <w:numPr>
          <w:ilvl w:val="1"/>
          <w:numId w:val="7"/>
        </w:numPr>
      </w:pPr>
      <w:r>
        <w:t>Applicant communicates information updates via phone or in person with LIHEAP Intake person, who inputs current information in OPUS file</w:t>
      </w:r>
    </w:p>
    <w:p w14:paraId="3771EE6A" w14:textId="77777777" w:rsidR="00181D5E" w:rsidRDefault="00181D5E" w:rsidP="003D7F2A">
      <w:pPr>
        <w:pStyle w:val="ListParagraph"/>
        <w:numPr>
          <w:ilvl w:val="1"/>
          <w:numId w:val="7"/>
        </w:numPr>
      </w:pPr>
      <w:r>
        <w:t>OPUS system qualified household automatically once all information is in and New Payment is processed</w:t>
      </w:r>
    </w:p>
    <w:p w14:paraId="6D2C8E11" w14:textId="2E60A184" w:rsidR="00181D5E" w:rsidRDefault="00181D5E" w:rsidP="003D7F2A">
      <w:pPr>
        <w:pStyle w:val="ListParagraph"/>
        <w:numPr>
          <w:ilvl w:val="1"/>
          <w:numId w:val="7"/>
        </w:numPr>
      </w:pPr>
      <w:r>
        <w:t>LIHEAP Intake person coordinates pledge action with identified utility; W9 form may be needed for a new fuel provider for either/both Tribe and OPUS Help Desk</w:t>
      </w:r>
    </w:p>
    <w:p w14:paraId="43C3CC5D" w14:textId="77777777" w:rsidR="00181D5E" w:rsidRDefault="00181D5E" w:rsidP="003D7F2A">
      <w:pPr>
        <w:pStyle w:val="ListParagraph"/>
        <w:numPr>
          <w:ilvl w:val="1"/>
          <w:numId w:val="7"/>
        </w:numPr>
      </w:pPr>
      <w:r>
        <w:t>With pledge confirmed and sufficient funds in the household’s county APC, a pay authorization can be</w:t>
      </w:r>
      <w:r w:rsidR="003D7F2A">
        <w:t xml:space="preserve"> generated</w:t>
      </w:r>
      <w:r>
        <w:t xml:space="preserve"> through the OPUS system, which operates like a check request</w:t>
      </w:r>
    </w:p>
    <w:p w14:paraId="3CFFF8B6" w14:textId="6B72D628" w:rsidR="003D7F2A" w:rsidRDefault="00181D5E" w:rsidP="003D7F2A">
      <w:pPr>
        <w:pStyle w:val="ListParagraph"/>
        <w:numPr>
          <w:ilvl w:val="1"/>
          <w:numId w:val="7"/>
        </w:numPr>
      </w:pPr>
      <w:r>
        <w:t xml:space="preserve">Pay authorization will then be </w:t>
      </w:r>
      <w:r w:rsidR="003D7F2A">
        <w:t>submitted to accounting department</w:t>
      </w:r>
      <w:r>
        <w:t>, ensuring that Tribal member’s identification is noted, along with line item number, and signature of Tribal LIHEAP</w:t>
      </w:r>
      <w:r w:rsidR="00304F87">
        <w:t xml:space="preserve"> Program Coordinator</w:t>
      </w:r>
      <w:r w:rsidR="006D2917">
        <w:t>; add copy to hard file as placeholder</w:t>
      </w:r>
    </w:p>
    <w:p w14:paraId="102607AB" w14:textId="0D4C3E3E" w:rsidR="003D7F2A" w:rsidRDefault="006D2917" w:rsidP="003D7F2A">
      <w:pPr>
        <w:pStyle w:val="ListParagraph"/>
        <w:numPr>
          <w:ilvl w:val="1"/>
          <w:numId w:val="7"/>
        </w:numPr>
      </w:pPr>
      <w:r>
        <w:t>Check is processed by Tribal AP Department; processed document copies are sen</w:t>
      </w:r>
      <w:r w:rsidR="00304F87">
        <w:t>t back to LIHEAP Program Coordinator</w:t>
      </w:r>
      <w:r>
        <w:t>, to place into hard file</w:t>
      </w:r>
    </w:p>
    <w:p w14:paraId="05F9D184" w14:textId="77777777" w:rsidR="00444845" w:rsidRDefault="00444845" w:rsidP="00444845">
      <w:pPr>
        <w:pStyle w:val="ListParagraph"/>
        <w:ind w:left="1440"/>
      </w:pPr>
    </w:p>
    <w:p w14:paraId="20ADB92C" w14:textId="19DAD772" w:rsidR="003D7F2A" w:rsidRDefault="00CC44C3" w:rsidP="003D7F2A">
      <w:pPr>
        <w:pStyle w:val="ListParagraph"/>
        <w:numPr>
          <w:ilvl w:val="0"/>
          <w:numId w:val="7"/>
        </w:numPr>
      </w:pPr>
      <w:r>
        <w:t>Denial of Benefits</w:t>
      </w:r>
    </w:p>
    <w:p w14:paraId="6C729BAA" w14:textId="26A33A7C" w:rsidR="003D7F2A" w:rsidRDefault="003D7F2A" w:rsidP="003D7F2A">
      <w:pPr>
        <w:pStyle w:val="ListParagraph"/>
        <w:numPr>
          <w:ilvl w:val="1"/>
          <w:numId w:val="7"/>
        </w:numPr>
      </w:pPr>
      <w:r>
        <w:t>Send letter to client</w:t>
      </w:r>
      <w:r w:rsidR="006D2917">
        <w:t>, noting action, purpose of action, and opportunity to respond/contest</w:t>
      </w:r>
      <w:r w:rsidR="00CC44C3">
        <w:t xml:space="preserve"> within 30 days of notification</w:t>
      </w:r>
      <w:r w:rsidR="006D2917">
        <w:t xml:space="preserve">, with signed letter of acknowledgement of action and right to respond </w:t>
      </w:r>
      <w:r w:rsidR="00304F87">
        <w:t>returned to LIHEAP Program Coordinato</w:t>
      </w:r>
      <w:r w:rsidR="006D2917">
        <w:t xml:space="preserve">r for hard file. </w:t>
      </w:r>
    </w:p>
    <w:p w14:paraId="17254BC5" w14:textId="77777777" w:rsidR="00C075EE" w:rsidRDefault="00C075EE" w:rsidP="00C075EE">
      <w:pPr>
        <w:pStyle w:val="ListParagraph"/>
        <w:numPr>
          <w:ilvl w:val="1"/>
          <w:numId w:val="7"/>
        </w:numPr>
      </w:pPr>
      <w:r>
        <w:t>Copy all correspondence for file.</w:t>
      </w:r>
    </w:p>
    <w:p w14:paraId="4E258134" w14:textId="62CE858D" w:rsidR="006D2917" w:rsidRDefault="006D2917" w:rsidP="00C075EE">
      <w:pPr>
        <w:pStyle w:val="ListParagraph"/>
        <w:numPr>
          <w:ilvl w:val="1"/>
          <w:numId w:val="7"/>
        </w:numPr>
      </w:pPr>
      <w:r>
        <w:t>If individual/household feels decision provided in error, a grievance can be made formally</w:t>
      </w:r>
      <w:r w:rsidR="001423EB">
        <w:t xml:space="preserve"> within 30 days </w:t>
      </w:r>
      <w:r>
        <w:t xml:space="preserve"> in Action Letter for a second review of that individual’s/household’s case. </w:t>
      </w:r>
      <w:r w:rsidR="001423EB">
        <w:t>Further review is to be done, ideally, in person in the Program Coordinator’s office to review the application, especially if that application is set up within the OPUS system, for the purposes of correcting any possible data input errors in the file and education of how the determination was made.</w:t>
      </w:r>
    </w:p>
    <w:p w14:paraId="3B8B6CD6" w14:textId="77777777" w:rsidR="00444845" w:rsidRDefault="00444845" w:rsidP="00444845">
      <w:pPr>
        <w:pStyle w:val="ListParagraph"/>
        <w:ind w:left="1440"/>
      </w:pPr>
    </w:p>
    <w:p w14:paraId="76BE9A08" w14:textId="77777777" w:rsidR="00C075EE" w:rsidRDefault="009D0187" w:rsidP="00C075EE">
      <w:pPr>
        <w:pStyle w:val="ListParagraph"/>
        <w:numPr>
          <w:ilvl w:val="0"/>
          <w:numId w:val="7"/>
        </w:numPr>
      </w:pPr>
      <w:r>
        <w:t>Service Area Requirements</w:t>
      </w:r>
    </w:p>
    <w:p w14:paraId="2C93F9EE" w14:textId="590E560F" w:rsidR="00C075EE" w:rsidRDefault="001D5841" w:rsidP="00C075EE">
      <w:pPr>
        <w:pStyle w:val="ListParagraph"/>
        <w:numPr>
          <w:ilvl w:val="1"/>
          <w:numId w:val="7"/>
        </w:numPr>
      </w:pPr>
      <w:r>
        <w:t>Applicants must live within the Tribe’s seven (7) county service area.</w:t>
      </w:r>
    </w:p>
    <w:p w14:paraId="6EDB2987" w14:textId="77777777" w:rsidR="00444845" w:rsidRDefault="00444845" w:rsidP="00444845">
      <w:pPr>
        <w:pStyle w:val="ListParagraph"/>
        <w:ind w:left="1440"/>
      </w:pPr>
    </w:p>
    <w:p w14:paraId="7D40FA60" w14:textId="77777777" w:rsidR="00C075EE" w:rsidRDefault="009D0187" w:rsidP="00C075EE">
      <w:pPr>
        <w:pStyle w:val="ListParagraph"/>
        <w:numPr>
          <w:ilvl w:val="0"/>
          <w:numId w:val="7"/>
        </w:numPr>
      </w:pPr>
      <w:r>
        <w:t>Eligibility</w:t>
      </w:r>
    </w:p>
    <w:p w14:paraId="3ACDFE0B" w14:textId="2342418C" w:rsidR="00C075EE" w:rsidRDefault="009D0187" w:rsidP="00C075EE">
      <w:pPr>
        <w:pStyle w:val="ListParagraph"/>
        <w:numPr>
          <w:ilvl w:val="1"/>
          <w:numId w:val="7"/>
        </w:numPr>
      </w:pPr>
      <w:r>
        <w:t xml:space="preserve">Must qualify by income, service area, </w:t>
      </w:r>
      <w:r w:rsidR="001D5841">
        <w:t>and Tribal</w:t>
      </w:r>
      <w:r>
        <w:t xml:space="preserve"> enrollment</w:t>
      </w:r>
      <w:r w:rsidR="00E71107">
        <w:t xml:space="preserve"> within the household</w:t>
      </w:r>
      <w:r>
        <w:t>.</w:t>
      </w:r>
    </w:p>
    <w:p w14:paraId="68D50D70" w14:textId="77777777" w:rsidR="00444845" w:rsidRDefault="00444845" w:rsidP="00444845">
      <w:pPr>
        <w:pStyle w:val="ListParagraph"/>
        <w:ind w:left="1440"/>
      </w:pPr>
    </w:p>
    <w:p w14:paraId="3C887B80" w14:textId="77777777" w:rsidR="00C075EE" w:rsidRDefault="009D0187" w:rsidP="00C075EE">
      <w:pPr>
        <w:pStyle w:val="ListParagraph"/>
        <w:numPr>
          <w:ilvl w:val="0"/>
          <w:numId w:val="7"/>
        </w:numPr>
      </w:pPr>
      <w:r>
        <w:t>Due Dates</w:t>
      </w:r>
    </w:p>
    <w:p w14:paraId="483F4313" w14:textId="0A6B3624" w:rsidR="009D0187" w:rsidRDefault="006D2917" w:rsidP="00C075EE">
      <w:pPr>
        <w:pStyle w:val="ListParagraph"/>
        <w:numPr>
          <w:ilvl w:val="1"/>
          <w:numId w:val="7"/>
        </w:numPr>
      </w:pPr>
      <w:r>
        <w:t xml:space="preserve">Model </w:t>
      </w:r>
      <w:r w:rsidR="009D0187">
        <w:t>Plan Due Date</w:t>
      </w:r>
    </w:p>
    <w:p w14:paraId="65817343" w14:textId="2F8EB40B" w:rsidR="009D0187" w:rsidRDefault="006D2917" w:rsidP="009D0187">
      <w:pPr>
        <w:pStyle w:val="ListParagraph"/>
        <w:numPr>
          <w:ilvl w:val="2"/>
          <w:numId w:val="6"/>
        </w:numPr>
      </w:pPr>
      <w:r>
        <w:t xml:space="preserve">September </w:t>
      </w:r>
      <w:r w:rsidR="009D0187">
        <w:t>1 of each year</w:t>
      </w:r>
      <w:r w:rsidR="00304F87">
        <w:t xml:space="preserve"> (completed annually by Program Coordinator)</w:t>
      </w:r>
    </w:p>
    <w:p w14:paraId="27501187" w14:textId="1BEFF92A" w:rsidR="009D0187" w:rsidRDefault="009D0187" w:rsidP="009D0187">
      <w:pPr>
        <w:pStyle w:val="ListParagraph"/>
        <w:numPr>
          <w:ilvl w:val="1"/>
          <w:numId w:val="6"/>
        </w:numPr>
      </w:pPr>
      <w:r>
        <w:t>Report Due Dates</w:t>
      </w:r>
    </w:p>
    <w:p w14:paraId="218239CC" w14:textId="6D562F5C" w:rsidR="009D0187" w:rsidRDefault="009D0187" w:rsidP="009D0187">
      <w:pPr>
        <w:pStyle w:val="ListParagraph"/>
        <w:numPr>
          <w:ilvl w:val="2"/>
          <w:numId w:val="6"/>
        </w:numPr>
      </w:pPr>
      <w:r>
        <w:t>Carryover and Re-allotmen</w:t>
      </w:r>
      <w:r w:rsidR="00304F87">
        <w:t>t Report (completed by Grant Specialist</w:t>
      </w:r>
      <w:r>
        <w:t xml:space="preserve">) </w:t>
      </w:r>
    </w:p>
    <w:p w14:paraId="6036809F" w14:textId="2CE24126" w:rsidR="009D0187" w:rsidRDefault="009D0187" w:rsidP="009D0187">
      <w:pPr>
        <w:pStyle w:val="ListParagraph"/>
        <w:numPr>
          <w:ilvl w:val="3"/>
          <w:numId w:val="6"/>
        </w:numPr>
      </w:pPr>
      <w:r>
        <w:t>August 1 of each year</w:t>
      </w:r>
    </w:p>
    <w:p w14:paraId="309A5CAE" w14:textId="7A01CD1C" w:rsidR="009D0187" w:rsidRDefault="009D0187" w:rsidP="009D0187">
      <w:pPr>
        <w:pStyle w:val="ListParagraph"/>
        <w:numPr>
          <w:ilvl w:val="2"/>
          <w:numId w:val="6"/>
        </w:numPr>
      </w:pPr>
      <w:r>
        <w:t>Household Report</w:t>
      </w:r>
      <w:r w:rsidR="00FE5E2A">
        <w:t>/Short Format</w:t>
      </w:r>
      <w:r>
        <w:t xml:space="preserve"> (completed by Program </w:t>
      </w:r>
      <w:r w:rsidR="001D5841">
        <w:t>Coordinator</w:t>
      </w:r>
      <w:r>
        <w:t>)</w:t>
      </w:r>
    </w:p>
    <w:p w14:paraId="618AD9EC" w14:textId="3898092A" w:rsidR="00C075EE" w:rsidRDefault="00304F87" w:rsidP="00C075EE">
      <w:pPr>
        <w:pStyle w:val="ListParagraph"/>
        <w:numPr>
          <w:ilvl w:val="3"/>
          <w:numId w:val="6"/>
        </w:numPr>
      </w:pPr>
      <w:r>
        <w:t>September 1</w:t>
      </w:r>
      <w:r w:rsidR="009D0187">
        <w:t xml:space="preserve"> of each year</w:t>
      </w:r>
    </w:p>
    <w:p w14:paraId="3A93EDF4" w14:textId="105BCF2F" w:rsidR="00FE5E2A" w:rsidRDefault="00FE5E2A" w:rsidP="00C075EE">
      <w:pPr>
        <w:pStyle w:val="ListParagraph"/>
        <w:numPr>
          <w:ilvl w:val="3"/>
          <w:numId w:val="6"/>
        </w:numPr>
      </w:pPr>
      <w:r>
        <w:t>Data collected from the OPUS system and report generated from that, cross-checke</w:t>
      </w:r>
      <w:r w:rsidR="00D154F0">
        <w:t>d with financials from Tribal Grants</w:t>
      </w:r>
      <w:r>
        <w:t xml:space="preserve"> Department.</w:t>
      </w:r>
    </w:p>
    <w:p w14:paraId="3BA462FB" w14:textId="087B98C9" w:rsidR="00304F87" w:rsidRDefault="00304F87" w:rsidP="00304F87">
      <w:pPr>
        <w:pStyle w:val="ListParagraph"/>
        <w:numPr>
          <w:ilvl w:val="2"/>
          <w:numId w:val="6"/>
        </w:numPr>
      </w:pPr>
      <w:r>
        <w:t>Leveraging Report (Optional, if Tribe wishes to participate in the Leveraging Incentive Program)</w:t>
      </w:r>
    </w:p>
    <w:p w14:paraId="5B453127" w14:textId="36A23444" w:rsidR="00304F87" w:rsidRDefault="00304F87" w:rsidP="00304F87">
      <w:pPr>
        <w:pStyle w:val="ListParagraph"/>
        <w:numPr>
          <w:ilvl w:val="3"/>
          <w:numId w:val="6"/>
        </w:numPr>
      </w:pPr>
      <w:r>
        <w:t>Due November 30 of each year (not doing at this time)</w:t>
      </w:r>
    </w:p>
    <w:p w14:paraId="31020C64" w14:textId="129C6D0A" w:rsidR="00304F87" w:rsidRDefault="00304F87" w:rsidP="00304F87">
      <w:pPr>
        <w:pStyle w:val="ListParagraph"/>
        <w:numPr>
          <w:ilvl w:val="2"/>
          <w:numId w:val="6"/>
        </w:numPr>
      </w:pPr>
      <w:r>
        <w:t>Standard Form 269A- Financial Status Form (completed by Grant Specialist)</w:t>
      </w:r>
    </w:p>
    <w:p w14:paraId="109DD90C" w14:textId="2AC767AC" w:rsidR="00304F87" w:rsidRDefault="00304F87" w:rsidP="00304F87">
      <w:pPr>
        <w:pStyle w:val="ListParagraph"/>
        <w:numPr>
          <w:ilvl w:val="3"/>
          <w:numId w:val="6"/>
        </w:numPr>
      </w:pPr>
      <w:r>
        <w:t>Due 90 days after end of the fiscal year</w:t>
      </w:r>
    </w:p>
    <w:p w14:paraId="50716305" w14:textId="77777777" w:rsidR="00444845" w:rsidRDefault="00444845" w:rsidP="00444845">
      <w:pPr>
        <w:pStyle w:val="ListParagraph"/>
        <w:ind w:left="2940"/>
      </w:pPr>
    </w:p>
    <w:p w14:paraId="56F0A67B" w14:textId="77777777" w:rsidR="00FE5E2A" w:rsidRDefault="00FE5E2A" w:rsidP="00444845">
      <w:pPr>
        <w:pStyle w:val="ListParagraph"/>
        <w:ind w:left="2940"/>
      </w:pPr>
    </w:p>
    <w:p w14:paraId="692F97CB" w14:textId="77777777" w:rsidR="00FE5E2A" w:rsidRDefault="00FE5E2A" w:rsidP="00444845">
      <w:pPr>
        <w:pStyle w:val="ListParagraph"/>
        <w:ind w:left="2940"/>
      </w:pPr>
    </w:p>
    <w:p w14:paraId="61DF4227" w14:textId="77777777" w:rsidR="00FE5E2A" w:rsidRDefault="00FE5E2A" w:rsidP="00444845">
      <w:pPr>
        <w:pStyle w:val="ListParagraph"/>
        <w:ind w:left="2940"/>
      </w:pPr>
    </w:p>
    <w:p w14:paraId="4CF9B23A" w14:textId="77777777" w:rsidR="00FE5E2A" w:rsidRDefault="00FE5E2A" w:rsidP="00444845">
      <w:pPr>
        <w:pStyle w:val="ListParagraph"/>
        <w:ind w:left="2940"/>
      </w:pPr>
    </w:p>
    <w:p w14:paraId="6BAECA24" w14:textId="77777777" w:rsidR="00C075EE" w:rsidRDefault="009D0187" w:rsidP="00C075EE">
      <w:pPr>
        <w:pStyle w:val="ListParagraph"/>
        <w:numPr>
          <w:ilvl w:val="1"/>
          <w:numId w:val="6"/>
        </w:numPr>
      </w:pPr>
      <w:r>
        <w:t>Funding</w:t>
      </w:r>
    </w:p>
    <w:p w14:paraId="7605A058" w14:textId="710222E6" w:rsidR="001423EB" w:rsidRDefault="009D0187" w:rsidP="00CC44C3">
      <w:pPr>
        <w:pStyle w:val="ListParagraph"/>
        <w:numPr>
          <w:ilvl w:val="2"/>
          <w:numId w:val="6"/>
        </w:numPr>
      </w:pPr>
      <w:r>
        <w:t>Approximate $12,000.00 in funding each year</w:t>
      </w:r>
      <w:r w:rsidR="00C53DFB">
        <w:t>, less $1,200.00 for carryover</w:t>
      </w:r>
      <w:r w:rsidR="00E71107">
        <w:t>, with funding available from October 1</w:t>
      </w:r>
      <w:r w:rsidR="00E71107" w:rsidRPr="00E71107">
        <w:rPr>
          <w:vertAlign w:val="superscript"/>
        </w:rPr>
        <w:t>st</w:t>
      </w:r>
      <w:r w:rsidR="00E71107">
        <w:t xml:space="preserve"> through September 30</w:t>
      </w:r>
      <w:r w:rsidR="00E71107" w:rsidRPr="00E71107">
        <w:rPr>
          <w:vertAlign w:val="superscript"/>
        </w:rPr>
        <w:t>th</w:t>
      </w:r>
      <w:r w:rsidR="00E71107">
        <w:t xml:space="preserve">. </w:t>
      </w:r>
      <w:r w:rsidR="00CC44C3">
        <w:t>Funds allocated based on current year’s benefit matrix from State of Oregon’s LIHEAP and</w:t>
      </w:r>
      <w:r w:rsidR="00FE5E2A">
        <w:t xml:space="preserve"> OEAP Intake Operations Manual.</w:t>
      </w:r>
    </w:p>
    <w:p w14:paraId="04F45FC2" w14:textId="77777777" w:rsidR="001423EB" w:rsidRDefault="001423EB" w:rsidP="00CC44C3"/>
    <w:p w14:paraId="37426789" w14:textId="78A57AE1" w:rsidR="00CC44C3" w:rsidRDefault="00CC44C3" w:rsidP="00CC44C3">
      <w:pPr>
        <w:pStyle w:val="ListParagraph"/>
        <w:numPr>
          <w:ilvl w:val="0"/>
          <w:numId w:val="7"/>
        </w:numPr>
      </w:pPr>
      <w:r>
        <w:t>Vendors</w:t>
      </w:r>
    </w:p>
    <w:p w14:paraId="19449F71" w14:textId="16EE90D7" w:rsidR="00CC44C3" w:rsidRDefault="00CC44C3" w:rsidP="00CC44C3">
      <w:pPr>
        <w:pStyle w:val="ListParagraph"/>
        <w:numPr>
          <w:ilvl w:val="1"/>
          <w:numId w:val="7"/>
        </w:numPr>
      </w:pPr>
      <w:r>
        <w:t>Vendors established with completed W-9 and uploaded into the vendor list within the OPUS system</w:t>
      </w:r>
    </w:p>
    <w:p w14:paraId="16F6D8F9" w14:textId="39A1B606" w:rsidR="00CC44C3" w:rsidRDefault="00CC44C3" w:rsidP="00CC44C3">
      <w:pPr>
        <w:pStyle w:val="ListParagraph"/>
        <w:numPr>
          <w:ilvl w:val="1"/>
          <w:numId w:val="7"/>
        </w:numPr>
      </w:pPr>
      <w:r>
        <w:t>Payments are made directly to the utility/energy vendor</w:t>
      </w:r>
    </w:p>
    <w:p w14:paraId="7BF5689C" w14:textId="157CB213" w:rsidR="00D154F0" w:rsidRDefault="00CC44C3" w:rsidP="00D154F0">
      <w:pPr>
        <w:pStyle w:val="ListParagraph"/>
        <w:numPr>
          <w:ilvl w:val="1"/>
          <w:numId w:val="7"/>
        </w:numPr>
      </w:pPr>
      <w:r>
        <w:t xml:space="preserve">If a vendor fails to follow through fully on the service/energy order, the LIHEAP client is to contact the Program Coordinator, who will engage in next steps with the vendor to resolve the situation. </w:t>
      </w:r>
    </w:p>
    <w:p w14:paraId="6BC84117" w14:textId="77777777" w:rsidR="00D154F0" w:rsidRDefault="00D154F0" w:rsidP="00D154F0"/>
    <w:p w14:paraId="03AA9ED3" w14:textId="2817141E" w:rsidR="00D154F0" w:rsidRDefault="00D154F0" w:rsidP="00D154F0">
      <w:pPr>
        <w:pStyle w:val="ListParagraph"/>
        <w:numPr>
          <w:ilvl w:val="0"/>
          <w:numId w:val="7"/>
        </w:numPr>
      </w:pPr>
      <w:r>
        <w:t>Reporting and Files</w:t>
      </w:r>
    </w:p>
    <w:p w14:paraId="19568ACA" w14:textId="3A49F2C0" w:rsidR="00D154F0" w:rsidRDefault="00D154F0" w:rsidP="00D154F0">
      <w:pPr>
        <w:pStyle w:val="ListParagraph"/>
        <w:numPr>
          <w:ilvl w:val="1"/>
          <w:numId w:val="7"/>
        </w:numPr>
      </w:pPr>
      <w:r>
        <w:t>Monthly and quarterly reports are provided electronically by the Grants Department, noting breakouts in types and dates of service.</w:t>
      </w:r>
    </w:p>
    <w:p w14:paraId="73951B6C" w14:textId="2A7C3E0C" w:rsidR="00D154F0" w:rsidRDefault="00D154F0" w:rsidP="00D154F0">
      <w:pPr>
        <w:pStyle w:val="ListParagraph"/>
        <w:numPr>
          <w:ilvl w:val="1"/>
          <w:numId w:val="7"/>
        </w:numPr>
      </w:pPr>
      <w:r>
        <w:t>Reports to OLDC are done electronically, and are reflected in Section VII, Due Dates.</w:t>
      </w:r>
    </w:p>
    <w:p w14:paraId="0D705BBE" w14:textId="5D10DCB0" w:rsidR="00D154F0" w:rsidRDefault="00D154F0" w:rsidP="00D154F0">
      <w:pPr>
        <w:pStyle w:val="ListParagraph"/>
        <w:numPr>
          <w:ilvl w:val="1"/>
          <w:numId w:val="7"/>
        </w:numPr>
      </w:pPr>
      <w:r>
        <w:t xml:space="preserve">Case files will have sections for demographics, application information, communication, and case notes. Information is to be organized chronologically. </w:t>
      </w:r>
    </w:p>
    <w:p w14:paraId="7326D4A7" w14:textId="6BC320A7" w:rsidR="00D154F0" w:rsidRDefault="00D154F0" w:rsidP="00D154F0">
      <w:pPr>
        <w:pStyle w:val="ListParagraph"/>
        <w:numPr>
          <w:ilvl w:val="1"/>
          <w:numId w:val="7"/>
        </w:numPr>
      </w:pPr>
      <w:r>
        <w:t xml:space="preserve">Case files will be kept indefinitely, with active files </w:t>
      </w:r>
      <w:r w:rsidR="00226FEE">
        <w:t>being kept in a secured in a fire safe, locking file cabinets</w:t>
      </w:r>
      <w:r>
        <w:t xml:space="preserve"> in the office of the Program Coordinator. More specific, financial information will be kept with the Grants Department in secure</w:t>
      </w:r>
      <w:r w:rsidR="00226FEE">
        <w:t xml:space="preserve">d, electronic format. </w:t>
      </w:r>
    </w:p>
    <w:sectPr w:rsidR="00D154F0" w:rsidSect="00C92EF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D7688" w14:textId="77777777" w:rsidR="003D7F2A" w:rsidRDefault="003D7F2A" w:rsidP="004E4CA4">
      <w:r>
        <w:separator/>
      </w:r>
    </w:p>
  </w:endnote>
  <w:endnote w:type="continuationSeparator" w:id="0">
    <w:p w14:paraId="2D3D7689" w14:textId="77777777" w:rsidR="003D7F2A" w:rsidRDefault="003D7F2A" w:rsidP="004E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F192" w14:textId="77777777" w:rsidR="00C53DFB" w:rsidRDefault="00C53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93547"/>
      <w:docPartObj>
        <w:docPartGallery w:val="Page Numbers (Bottom of Page)"/>
        <w:docPartUnique/>
      </w:docPartObj>
    </w:sdtPr>
    <w:sdtEndPr>
      <w:rPr>
        <w:color w:val="7F7F7F" w:themeColor="background1" w:themeShade="7F"/>
        <w:spacing w:val="60"/>
      </w:rPr>
    </w:sdtEndPr>
    <w:sdtContent>
      <w:p w14:paraId="2D3D768A" w14:textId="77777777" w:rsidR="003D7F2A" w:rsidRDefault="003D7F2A">
        <w:pPr>
          <w:pStyle w:val="Footer"/>
          <w:pBdr>
            <w:top w:val="single" w:sz="4" w:space="1" w:color="D9D9D9" w:themeColor="background1" w:themeShade="D9"/>
          </w:pBdr>
          <w:rPr>
            <w:b/>
          </w:rPr>
        </w:pPr>
        <w:r>
          <w:fldChar w:fldCharType="begin"/>
        </w:r>
        <w:r>
          <w:instrText xml:space="preserve"> PAGE   \* MERGEFORMAT </w:instrText>
        </w:r>
        <w:r>
          <w:fldChar w:fldCharType="separate"/>
        </w:r>
        <w:r w:rsidR="0036732B" w:rsidRPr="0036732B">
          <w:rPr>
            <w:b/>
            <w:noProof/>
          </w:rPr>
          <w:t>4</w:t>
        </w:r>
        <w:r>
          <w:rPr>
            <w:b/>
            <w:noProof/>
          </w:rPr>
          <w:fldChar w:fldCharType="end"/>
        </w:r>
        <w:r>
          <w:rPr>
            <w:b/>
          </w:rPr>
          <w:t xml:space="preserve"> | </w:t>
        </w:r>
        <w:r>
          <w:rPr>
            <w:color w:val="7F7F7F" w:themeColor="background1" w:themeShade="7F"/>
            <w:spacing w:val="60"/>
          </w:rPr>
          <w:t>Page</w:t>
        </w:r>
      </w:p>
    </w:sdtContent>
  </w:sdt>
  <w:p w14:paraId="2D3D768B" w14:textId="77777777" w:rsidR="003D7F2A" w:rsidRDefault="003D7F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3D80" w14:textId="77777777" w:rsidR="00C53DFB" w:rsidRDefault="00C53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D7686" w14:textId="77777777" w:rsidR="003D7F2A" w:rsidRDefault="003D7F2A" w:rsidP="004E4CA4">
      <w:r>
        <w:separator/>
      </w:r>
    </w:p>
  </w:footnote>
  <w:footnote w:type="continuationSeparator" w:id="0">
    <w:p w14:paraId="2D3D7687" w14:textId="77777777" w:rsidR="003D7F2A" w:rsidRDefault="003D7F2A" w:rsidP="004E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A6D3B" w14:textId="77777777" w:rsidR="00C53DFB" w:rsidRDefault="00C53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587932"/>
      <w:docPartObj>
        <w:docPartGallery w:val="Watermarks"/>
        <w:docPartUnique/>
      </w:docPartObj>
    </w:sdtPr>
    <w:sdtEndPr/>
    <w:sdtContent>
      <w:p w14:paraId="1DB663DB" w14:textId="45B82947" w:rsidR="00C53DFB" w:rsidRDefault="0036732B">
        <w:pPr>
          <w:pStyle w:val="Header"/>
        </w:pPr>
        <w:r>
          <w:rPr>
            <w:noProof/>
            <w:lang w:eastAsia="zh-TW"/>
          </w:rPr>
          <w:pict w14:anchorId="4A9A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01A3F" w14:textId="77777777" w:rsidR="00C53DFB" w:rsidRDefault="00C53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933"/>
    <w:multiLevelType w:val="hybridMultilevel"/>
    <w:tmpl w:val="50F8C6A6"/>
    <w:lvl w:ilvl="0" w:tplc="04090013">
      <w:start w:val="1"/>
      <w:numFmt w:val="upperRoman"/>
      <w:lvlText w:val="%1."/>
      <w:lvlJc w:val="righ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8145A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AD2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E21FF5"/>
    <w:multiLevelType w:val="hybridMultilevel"/>
    <w:tmpl w:val="46E8AE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E66BD"/>
    <w:multiLevelType w:val="singleLevel"/>
    <w:tmpl w:val="04090001"/>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56B473CD"/>
    <w:multiLevelType w:val="singleLevel"/>
    <w:tmpl w:val="04090013"/>
    <w:lvl w:ilvl="0">
      <w:start w:val="9"/>
      <w:numFmt w:val="upperRoman"/>
      <w:lvlText w:val="%1."/>
      <w:lvlJc w:val="left"/>
      <w:pPr>
        <w:tabs>
          <w:tab w:val="num" w:pos="720"/>
        </w:tabs>
        <w:ind w:left="720" w:hanging="720"/>
      </w:pPr>
      <w:rPr>
        <w:rFonts w:hint="default"/>
      </w:rPr>
    </w:lvl>
  </w:abstractNum>
  <w:abstractNum w:abstractNumId="6" w15:restartNumberingAfterBreak="0">
    <w:nsid w:val="74A8356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8D"/>
    <w:rsid w:val="000F737F"/>
    <w:rsid w:val="001423EB"/>
    <w:rsid w:val="00181D5E"/>
    <w:rsid w:val="001B4B78"/>
    <w:rsid w:val="001D5841"/>
    <w:rsid w:val="001F25F4"/>
    <w:rsid w:val="00226FEE"/>
    <w:rsid w:val="002872E3"/>
    <w:rsid w:val="002B0A9F"/>
    <w:rsid w:val="00301BD0"/>
    <w:rsid w:val="00304F87"/>
    <w:rsid w:val="00352802"/>
    <w:rsid w:val="0036732B"/>
    <w:rsid w:val="00372458"/>
    <w:rsid w:val="003D0C73"/>
    <w:rsid w:val="003D7F2A"/>
    <w:rsid w:val="00444845"/>
    <w:rsid w:val="004C1610"/>
    <w:rsid w:val="004E4CA4"/>
    <w:rsid w:val="004F5BC5"/>
    <w:rsid w:val="0050187F"/>
    <w:rsid w:val="0057316A"/>
    <w:rsid w:val="005928BB"/>
    <w:rsid w:val="005D59A0"/>
    <w:rsid w:val="006742B4"/>
    <w:rsid w:val="00684E75"/>
    <w:rsid w:val="006D2917"/>
    <w:rsid w:val="007A77C5"/>
    <w:rsid w:val="007D2F26"/>
    <w:rsid w:val="00830320"/>
    <w:rsid w:val="008441D5"/>
    <w:rsid w:val="008C6BE1"/>
    <w:rsid w:val="009511D4"/>
    <w:rsid w:val="00992D77"/>
    <w:rsid w:val="009D0187"/>
    <w:rsid w:val="00A60528"/>
    <w:rsid w:val="00A63DCB"/>
    <w:rsid w:val="00AC0D6C"/>
    <w:rsid w:val="00BC267C"/>
    <w:rsid w:val="00C03B3A"/>
    <w:rsid w:val="00C075EE"/>
    <w:rsid w:val="00C105F3"/>
    <w:rsid w:val="00C53DFB"/>
    <w:rsid w:val="00C56395"/>
    <w:rsid w:val="00C81776"/>
    <w:rsid w:val="00C92EFD"/>
    <w:rsid w:val="00CC44C3"/>
    <w:rsid w:val="00CE5696"/>
    <w:rsid w:val="00D154F0"/>
    <w:rsid w:val="00D3328D"/>
    <w:rsid w:val="00D95207"/>
    <w:rsid w:val="00D97482"/>
    <w:rsid w:val="00DA6302"/>
    <w:rsid w:val="00DC79D5"/>
    <w:rsid w:val="00E26B6D"/>
    <w:rsid w:val="00E4424C"/>
    <w:rsid w:val="00E71107"/>
    <w:rsid w:val="00FB056E"/>
    <w:rsid w:val="00FB63A2"/>
    <w:rsid w:val="00FE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3D7530"/>
  <w15:docId w15:val="{1C89530D-09DE-489B-A19B-9CC3902F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776"/>
    <w:rPr>
      <w:sz w:val="24"/>
      <w:szCs w:val="24"/>
    </w:rPr>
  </w:style>
  <w:style w:type="paragraph" w:styleId="Heading1">
    <w:name w:val="heading 1"/>
    <w:basedOn w:val="Normal"/>
    <w:next w:val="Normal"/>
    <w:qFormat/>
    <w:rsid w:val="00D3328D"/>
    <w:pPr>
      <w:keepNext/>
      <w:jc w:val="center"/>
      <w:outlineLvl w:val="0"/>
    </w:pPr>
    <w:rPr>
      <w:b/>
      <w:sz w:val="28"/>
      <w:szCs w:val="20"/>
    </w:rPr>
  </w:style>
  <w:style w:type="paragraph" w:styleId="Heading2">
    <w:name w:val="heading 2"/>
    <w:basedOn w:val="Normal"/>
    <w:next w:val="Normal"/>
    <w:qFormat/>
    <w:rsid w:val="00D3328D"/>
    <w:pPr>
      <w:keepNext/>
      <w:jc w:val="center"/>
      <w:outlineLvl w:val="1"/>
    </w:pPr>
    <w:rPr>
      <w:szCs w:val="20"/>
    </w:rPr>
  </w:style>
  <w:style w:type="paragraph" w:styleId="Heading3">
    <w:name w:val="heading 3"/>
    <w:basedOn w:val="Normal"/>
    <w:next w:val="Normal"/>
    <w:qFormat/>
    <w:rsid w:val="00D3328D"/>
    <w:pPr>
      <w:keepNext/>
      <w:outlineLvl w:val="2"/>
    </w:pPr>
    <w:rPr>
      <w:szCs w:val="20"/>
    </w:rPr>
  </w:style>
  <w:style w:type="paragraph" w:styleId="Heading4">
    <w:name w:val="heading 4"/>
    <w:basedOn w:val="Normal"/>
    <w:next w:val="Normal"/>
    <w:link w:val="Heading4Char"/>
    <w:semiHidden/>
    <w:unhideWhenUsed/>
    <w:qFormat/>
    <w:rsid w:val="004C16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C161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328D"/>
    <w:rPr>
      <w:sz w:val="22"/>
      <w:szCs w:val="20"/>
    </w:rPr>
  </w:style>
  <w:style w:type="paragraph" w:styleId="BodyTextIndent2">
    <w:name w:val="Body Text Indent 2"/>
    <w:basedOn w:val="Normal"/>
    <w:rsid w:val="00D3328D"/>
    <w:pPr>
      <w:ind w:left="720" w:hanging="720"/>
    </w:pPr>
    <w:rPr>
      <w:szCs w:val="20"/>
    </w:rPr>
  </w:style>
  <w:style w:type="paragraph" w:styleId="BalloonText">
    <w:name w:val="Balloon Text"/>
    <w:basedOn w:val="Normal"/>
    <w:link w:val="BalloonTextChar"/>
    <w:rsid w:val="00D95207"/>
    <w:rPr>
      <w:rFonts w:ascii="Tahoma" w:hAnsi="Tahoma" w:cs="Tahoma"/>
      <w:sz w:val="16"/>
      <w:szCs w:val="16"/>
    </w:rPr>
  </w:style>
  <w:style w:type="character" w:customStyle="1" w:styleId="BalloonTextChar">
    <w:name w:val="Balloon Text Char"/>
    <w:basedOn w:val="DefaultParagraphFont"/>
    <w:link w:val="BalloonText"/>
    <w:rsid w:val="00D95207"/>
    <w:rPr>
      <w:rFonts w:ascii="Tahoma" w:hAnsi="Tahoma" w:cs="Tahoma"/>
      <w:sz w:val="16"/>
      <w:szCs w:val="16"/>
    </w:rPr>
  </w:style>
  <w:style w:type="character" w:customStyle="1" w:styleId="Heading4Char">
    <w:name w:val="Heading 4 Char"/>
    <w:basedOn w:val="DefaultParagraphFont"/>
    <w:link w:val="Heading4"/>
    <w:semiHidden/>
    <w:rsid w:val="004C161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4C1610"/>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rsid w:val="004E4CA4"/>
    <w:pPr>
      <w:tabs>
        <w:tab w:val="center" w:pos="4680"/>
        <w:tab w:val="right" w:pos="9360"/>
      </w:tabs>
    </w:pPr>
  </w:style>
  <w:style w:type="character" w:customStyle="1" w:styleId="HeaderChar">
    <w:name w:val="Header Char"/>
    <w:basedOn w:val="DefaultParagraphFont"/>
    <w:link w:val="Header"/>
    <w:rsid w:val="004E4CA4"/>
    <w:rPr>
      <w:sz w:val="24"/>
      <w:szCs w:val="24"/>
    </w:rPr>
  </w:style>
  <w:style w:type="paragraph" w:styleId="Footer">
    <w:name w:val="footer"/>
    <w:basedOn w:val="Normal"/>
    <w:link w:val="FooterChar"/>
    <w:uiPriority w:val="99"/>
    <w:rsid w:val="004E4CA4"/>
    <w:pPr>
      <w:tabs>
        <w:tab w:val="center" w:pos="4680"/>
        <w:tab w:val="right" w:pos="9360"/>
      </w:tabs>
    </w:pPr>
  </w:style>
  <w:style w:type="character" w:customStyle="1" w:styleId="FooterChar">
    <w:name w:val="Footer Char"/>
    <w:basedOn w:val="DefaultParagraphFont"/>
    <w:link w:val="Footer"/>
    <w:uiPriority w:val="99"/>
    <w:rsid w:val="004E4CA4"/>
    <w:rPr>
      <w:sz w:val="24"/>
      <w:szCs w:val="24"/>
    </w:rPr>
  </w:style>
  <w:style w:type="paragraph" w:styleId="ListParagraph">
    <w:name w:val="List Paragraph"/>
    <w:basedOn w:val="Normal"/>
    <w:uiPriority w:val="34"/>
    <w:qFormat/>
    <w:rsid w:val="009D0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C3970298F2C24C98890D21E4873052" ma:contentTypeVersion="0" ma:contentTypeDescription="Create a new document." ma:contentTypeScope="" ma:versionID="c06bd8c2b18c611984267e55cea179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3862685-0032-4506-97B2-794730F0D676}">
  <ds:schemaRefs>
    <ds:schemaRef ds:uri="http://schemas.microsoft.com/sharepoint/v3/contenttype/forms"/>
  </ds:schemaRefs>
</ds:datastoreItem>
</file>

<file path=customXml/itemProps2.xml><?xml version="1.0" encoding="utf-8"?>
<ds:datastoreItem xmlns:ds="http://schemas.openxmlformats.org/officeDocument/2006/customXml" ds:itemID="{27584B03-C6C4-48FA-BD95-CF31379EF51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153B86DD-F2EA-41B5-AA37-990DC92B4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SEVEN FEATHERS HOTEL AND CASINO RESORT</vt:lpstr>
    </vt:vector>
  </TitlesOfParts>
  <Company>Seven Feathers Hotel &amp; Casino</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 FEATHERS HOTEL AND CASINO RESORT</dc:title>
  <dc:creator>Marcella Fummerton - GO \ Admin Assistant</dc:creator>
  <cp:lastModifiedBy> sherry vogel</cp:lastModifiedBy>
  <cp:revision>2</cp:revision>
  <cp:lastPrinted>2016-07-21T22:54:00Z</cp:lastPrinted>
  <dcterms:created xsi:type="dcterms:W3CDTF">2016-11-16T20:46:00Z</dcterms:created>
  <dcterms:modified xsi:type="dcterms:W3CDTF">2016-11-16T20:46:00Z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0x0101000CC3970298F2C24C98890D21E4873052</vt:lpwstr>
  </property>
</Properties>
</file>