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F0" w:rsidRDefault="004C4FF0" w:rsidP="004C4FF0">
      <w:pPr>
        <w:jc w:val="center"/>
        <w:rPr>
          <w:rFonts w:ascii="Calibri" w:hAnsi="Calibri"/>
          <w:b/>
        </w:rPr>
      </w:pPr>
      <w:bookmarkStart w:id="0" w:name="_GoBack"/>
      <w:bookmarkEnd w:id="0"/>
      <w:r>
        <w:rPr>
          <w:rStyle w:val="Strong"/>
          <w:rFonts w:ascii="Calibri" w:hAnsi="Calibri"/>
        </w:rPr>
        <w:t xml:space="preserve">ATTACHMENT </w:t>
      </w:r>
      <w:r w:rsidR="00B21F00">
        <w:rPr>
          <w:rStyle w:val="Strong"/>
          <w:rFonts w:ascii="Calibri" w:hAnsi="Calibri"/>
        </w:rPr>
        <w:t>5</w:t>
      </w:r>
      <w:r>
        <w:rPr>
          <w:rFonts w:ascii="Calibri" w:hAnsi="Calibri"/>
        </w:rPr>
        <w:br/>
      </w:r>
      <w:r>
        <w:rPr>
          <w:rFonts w:ascii="Calibri" w:hAnsi="Calibri"/>
          <w:b/>
        </w:rPr>
        <w:t>SAMPLE PROGRAM INTEGRITY ASSESSMENT SUPPLEMENT TEMPLATE</w:t>
      </w:r>
    </w:p>
    <w:p w:rsidR="004C4FF0" w:rsidRDefault="004C4FF0" w:rsidP="004C4FF0">
      <w:pPr>
        <w:jc w:val="center"/>
        <w:rPr>
          <w:rFonts w:ascii="Calibri" w:hAnsi="Calibri"/>
        </w:rPr>
      </w:pPr>
      <w:r>
        <w:rPr>
          <w:rFonts w:ascii="Calibri" w:hAnsi="Calibri"/>
        </w:rPr>
        <w:t>Low Income Home Energy Assistance Program (LIHEAP)</w:t>
      </w:r>
    </w:p>
    <w:p w:rsidR="008E532A" w:rsidRDefault="008E532A" w:rsidP="004C4FF0">
      <w:pPr>
        <w:rPr>
          <w:rFonts w:ascii="Calibri" w:hAnsi="Calibri"/>
        </w:rPr>
      </w:pPr>
    </w:p>
    <w:p w:rsidR="004C4FF0" w:rsidRDefault="004C4FF0" w:rsidP="00E74B6E">
      <w:pPr>
        <w:ind w:left="-1260"/>
        <w:rPr>
          <w:rFonts w:ascii="Calibri" w:hAnsi="Calibri"/>
        </w:rPr>
      </w:pPr>
      <w:r>
        <w:rPr>
          <w:rFonts w:ascii="Calibri" w:hAnsi="Calibri"/>
        </w:rPr>
        <w:t xml:space="preserve">ABSTRACT:  </w:t>
      </w:r>
    </w:p>
    <w:p w:rsidR="004C4FF0" w:rsidRDefault="004C4FF0" w:rsidP="00E74B6E">
      <w:pPr>
        <w:ind w:left="-1260"/>
        <w:rPr>
          <w:rFonts w:ascii="Calibri" w:hAnsi="Calibri"/>
        </w:rPr>
      </w:pPr>
      <w:r>
        <w:rPr>
          <w:rFonts w:ascii="Calibri" w:hAnsi="Calibri"/>
        </w:rPr>
        <w:t xml:space="preserve">HHS is requiring further detail from </w:t>
      </w:r>
      <w:r w:rsidR="008E532A">
        <w:rPr>
          <w:rFonts w:ascii="Calibri" w:hAnsi="Calibri"/>
        </w:rPr>
        <w:t>Grantees</w:t>
      </w:r>
      <w:r>
        <w:rPr>
          <w:rFonts w:ascii="Calibri" w:hAnsi="Calibri"/>
        </w:rPr>
        <w:t xml:space="preserve"> on their FY</w:t>
      </w:r>
      <w:r w:rsidR="00404B95">
        <w:rPr>
          <w:rFonts w:ascii="Calibri" w:hAnsi="Calibri"/>
        </w:rPr>
        <w:t>2014</w:t>
      </w:r>
      <w:r>
        <w:rPr>
          <w:rFonts w:ascii="Calibri" w:hAnsi="Calibri"/>
        </w:rPr>
        <w:t xml:space="preserve"> plans for preventing and detecting fraud, abuse, and improper payments.  HHS is also requiring that </w:t>
      </w:r>
      <w:r w:rsidR="008E532A">
        <w:rPr>
          <w:rFonts w:ascii="Calibri" w:hAnsi="Calibri"/>
        </w:rPr>
        <w:t>Grantees</w:t>
      </w:r>
      <w:r>
        <w:rPr>
          <w:rFonts w:ascii="Calibri" w:hAnsi="Calibri"/>
        </w:rPr>
        <w:t xml:space="preserve"> highlight and describe all elements of this FY</w:t>
      </w:r>
      <w:r w:rsidR="00404B95">
        <w:rPr>
          <w:rFonts w:ascii="Calibri" w:hAnsi="Calibri"/>
        </w:rPr>
        <w:t>2014</w:t>
      </w:r>
      <w:r>
        <w:rPr>
          <w:rFonts w:ascii="Calibri" w:hAnsi="Calibri"/>
        </w:rPr>
        <w:t xml:space="preserve"> plan which represent improvements or changes to the </w:t>
      </w:r>
      <w:r w:rsidR="008E532A">
        <w:rPr>
          <w:rFonts w:ascii="Calibri" w:hAnsi="Calibri"/>
        </w:rPr>
        <w:t>Grantees’</w:t>
      </w:r>
      <w:r>
        <w:rPr>
          <w:rFonts w:ascii="Calibri" w:hAnsi="Calibri"/>
        </w:rPr>
        <w:t xml:space="preserve"> FY</w:t>
      </w:r>
      <w:r w:rsidR="00404B95">
        <w:rPr>
          <w:rFonts w:ascii="Calibri" w:hAnsi="Calibri"/>
        </w:rPr>
        <w:t>2014</w:t>
      </w:r>
      <w:r>
        <w:rPr>
          <w:rFonts w:ascii="Calibri" w:hAnsi="Calibri"/>
        </w:rPr>
        <w:t xml:space="preserve"> plan for preventing and detecting fraud, abuse and improper payment prevention.</w:t>
      </w:r>
    </w:p>
    <w:p w:rsidR="008E532A" w:rsidRDefault="008E532A" w:rsidP="00E74B6E">
      <w:pPr>
        <w:ind w:left="-1260"/>
        <w:rPr>
          <w:rFonts w:ascii="Calibri" w:hAnsi="Calibri"/>
        </w:rPr>
      </w:pPr>
    </w:p>
    <w:p w:rsidR="004C4FF0" w:rsidRPr="00563135" w:rsidRDefault="008E532A" w:rsidP="00E74B6E">
      <w:pPr>
        <w:ind w:left="-1260"/>
      </w:pPr>
      <w:r w:rsidRPr="00563135">
        <w:rPr>
          <w:rFonts w:ascii="Calibri" w:hAnsi="Calibri"/>
        </w:rPr>
        <w:t xml:space="preserve">Instructions:  </w:t>
      </w:r>
      <w:r w:rsidRPr="00563135">
        <w:rPr>
          <w:rFonts w:ascii="Calibri" w:hAnsi="Calibri" w:cs="Arial"/>
          <w:i/>
          <w:iCs/>
        </w:rPr>
        <w:t xml:space="preserve">Please provide full descriptions of the </w:t>
      </w:r>
      <w:r w:rsidR="00563135">
        <w:rPr>
          <w:rFonts w:ascii="Calibri" w:hAnsi="Calibri" w:cs="Arial"/>
          <w:i/>
          <w:iCs/>
        </w:rPr>
        <w:t>Grantee’s</w:t>
      </w:r>
      <w:r w:rsidRPr="00563135">
        <w:rPr>
          <w:rFonts w:ascii="Calibri" w:hAnsi="Calibri" w:cs="Arial"/>
          <w:i/>
          <w:iCs/>
        </w:rPr>
        <w:t xml:space="preserve"> plans and strategy </w:t>
      </w:r>
      <w:r w:rsidR="00563135">
        <w:rPr>
          <w:rFonts w:ascii="Calibri" w:hAnsi="Calibri" w:cs="Arial"/>
          <w:i/>
          <w:iCs/>
        </w:rPr>
        <w:t>for each</w:t>
      </w:r>
      <w:r w:rsidRPr="00563135">
        <w:rPr>
          <w:rFonts w:ascii="Calibri" w:hAnsi="Calibri" w:cs="Arial"/>
          <w:i/>
          <w:iCs/>
        </w:rPr>
        <w:t xml:space="preserve"> area, and attach/reference excerpts from relevant policy documents for each question/column.  Responses must explicitly explain whether any changes are planned for the new FY.</w:t>
      </w:r>
    </w:p>
    <w:p w:rsidR="008E532A" w:rsidRDefault="008E532A" w:rsidP="004C4FF0"/>
    <w:tbl>
      <w:tblPr>
        <w:tblW w:w="10860" w:type="dxa"/>
        <w:tblInd w:w="-1103" w:type="dxa"/>
        <w:tblLook w:val="0000"/>
      </w:tblPr>
      <w:tblGrid>
        <w:gridCol w:w="3040"/>
        <w:gridCol w:w="2860"/>
        <w:gridCol w:w="2900"/>
        <w:gridCol w:w="2060"/>
      </w:tblGrid>
      <w:tr w:rsidR="004C4FF0" w:rsidTr="00BB3B75">
        <w:trPr>
          <w:trHeight w:val="765"/>
        </w:trPr>
        <w:tc>
          <w:tcPr>
            <w:tcW w:w="3040" w:type="dxa"/>
            <w:tcBorders>
              <w:top w:val="single" w:sz="8" w:space="0" w:color="auto"/>
              <w:left w:val="single" w:sz="8" w:space="0" w:color="auto"/>
              <w:bottom w:val="single" w:sz="8" w:space="0" w:color="auto"/>
              <w:right w:val="nil"/>
            </w:tcBorders>
            <w:shd w:val="clear" w:color="auto" w:fill="FFFFFF"/>
          </w:tcPr>
          <w:p w:rsidR="004C4FF0" w:rsidRDefault="004C4FF0" w:rsidP="004C4FF0">
            <w:pPr>
              <w:rPr>
                <w:rFonts w:ascii="Calibri" w:hAnsi="Calibri" w:cs="Arial"/>
                <w:b/>
                <w:bCs/>
                <w:sz w:val="20"/>
                <w:szCs w:val="20"/>
              </w:rPr>
            </w:pPr>
            <w:r>
              <w:rPr>
                <w:rFonts w:ascii="Calibri" w:hAnsi="Calibri" w:cs="Arial"/>
                <w:b/>
                <w:bCs/>
                <w:sz w:val="20"/>
                <w:szCs w:val="20"/>
              </w:rPr>
              <w:t>State, Tribe or Territory (and grant official):</w:t>
            </w:r>
            <w:r w:rsidR="0036613C">
              <w:rPr>
                <w:rFonts w:ascii="Calibri" w:hAnsi="Calibri" w:cs="Arial"/>
                <w:b/>
                <w:bCs/>
                <w:sz w:val="20"/>
                <w:szCs w:val="20"/>
              </w:rPr>
              <w:t xml:space="preserve"> State of Wyoming, Department of Family Services</w:t>
            </w:r>
          </w:p>
        </w:tc>
        <w:tc>
          <w:tcPr>
            <w:tcW w:w="5760" w:type="dxa"/>
            <w:gridSpan w:val="2"/>
            <w:tcBorders>
              <w:top w:val="single" w:sz="8" w:space="0" w:color="auto"/>
              <w:left w:val="nil"/>
              <w:bottom w:val="single" w:sz="8" w:space="0" w:color="auto"/>
              <w:right w:val="single" w:sz="4" w:space="0" w:color="auto"/>
            </w:tcBorders>
            <w:shd w:val="clear" w:color="auto" w:fill="FFFFFF"/>
            <w:vAlign w:val="center"/>
          </w:tcPr>
          <w:p w:rsidR="004C4FF0" w:rsidRDefault="004C4FF0" w:rsidP="004C4FF0">
            <w:pPr>
              <w:jc w:val="center"/>
              <w:rPr>
                <w:rFonts w:ascii="Calibri" w:hAnsi="Calibri" w:cs="Arial"/>
                <w:b/>
                <w:bCs/>
                <w:sz w:val="20"/>
                <w:szCs w:val="20"/>
              </w:rPr>
            </w:pPr>
            <w:r>
              <w:rPr>
                <w:rFonts w:ascii="Calibri" w:hAnsi="Calibri" w:cs="Arial"/>
                <w:b/>
                <w:bCs/>
                <w:sz w:val="20"/>
                <w:szCs w:val="20"/>
              </w:rPr>
              <w:t> </w:t>
            </w:r>
          </w:p>
        </w:tc>
        <w:tc>
          <w:tcPr>
            <w:tcW w:w="2060" w:type="dxa"/>
            <w:tcBorders>
              <w:top w:val="single" w:sz="8" w:space="0" w:color="auto"/>
              <w:left w:val="single" w:sz="8" w:space="0" w:color="auto"/>
              <w:bottom w:val="single" w:sz="8" w:space="0" w:color="auto"/>
              <w:right w:val="single" w:sz="8" w:space="0" w:color="auto"/>
            </w:tcBorders>
            <w:shd w:val="clear" w:color="auto" w:fill="FFFFFF"/>
          </w:tcPr>
          <w:p w:rsidR="004C4FF0" w:rsidRDefault="004C4FF0" w:rsidP="004C4FF0">
            <w:pPr>
              <w:rPr>
                <w:rFonts w:ascii="Calibri" w:hAnsi="Calibri" w:cs="Arial"/>
                <w:b/>
                <w:bCs/>
                <w:sz w:val="20"/>
                <w:szCs w:val="20"/>
              </w:rPr>
            </w:pPr>
            <w:r>
              <w:rPr>
                <w:rFonts w:ascii="Calibri" w:hAnsi="Calibri" w:cs="Arial"/>
                <w:b/>
                <w:bCs/>
                <w:sz w:val="20"/>
                <w:szCs w:val="20"/>
              </w:rPr>
              <w:t>Date/Fiscal Year:</w:t>
            </w:r>
            <w:r w:rsidR="0036613C">
              <w:rPr>
                <w:rFonts w:ascii="Calibri" w:hAnsi="Calibri" w:cs="Arial"/>
                <w:b/>
                <w:bCs/>
                <w:sz w:val="20"/>
                <w:szCs w:val="20"/>
              </w:rPr>
              <w:t xml:space="preserve"> FFY 2014</w:t>
            </w:r>
          </w:p>
        </w:tc>
      </w:tr>
      <w:tr w:rsidR="004C4FF0" w:rsidTr="00BB3B75">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BB3B75">
        <w:trPr>
          <w:trHeight w:val="42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RECENT AUDIT FINDINGS</w:t>
            </w:r>
          </w:p>
        </w:tc>
      </w:tr>
      <w:tr w:rsidR="004C4FF0" w:rsidTr="00BB3B75">
        <w:trPr>
          <w:trHeight w:val="307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Describe any audit findings of material weaknesses and reportable conditions, questioned costs and other findings cited in FY</w:t>
            </w:r>
            <w:r w:rsidR="00404B95">
              <w:rPr>
                <w:rFonts w:ascii="Calibri" w:hAnsi="Calibri" w:cs="Arial"/>
                <w:b/>
                <w:bCs/>
                <w:sz w:val="20"/>
                <w:szCs w:val="20"/>
              </w:rPr>
              <w:t>2013</w:t>
            </w:r>
            <w:r>
              <w:rPr>
                <w:rFonts w:ascii="Calibri" w:hAnsi="Calibri" w:cs="Arial"/>
                <w:b/>
                <w:bCs/>
                <w:sz w:val="20"/>
                <w:szCs w:val="20"/>
              </w:rPr>
              <w:t xml:space="preserve"> or the prior three </w:t>
            </w:r>
            <w:r w:rsidR="00BB3B75">
              <w:rPr>
                <w:rFonts w:ascii="Calibri" w:hAnsi="Calibri" w:cs="Arial"/>
                <w:b/>
                <w:bCs/>
                <w:sz w:val="20"/>
                <w:szCs w:val="20"/>
              </w:rPr>
              <w:t>years, in annual audits, Grantee</w:t>
            </w:r>
            <w:r>
              <w:rPr>
                <w:rFonts w:ascii="Calibri" w:hAnsi="Calibri" w:cs="Arial"/>
                <w:b/>
                <w:bCs/>
                <w:sz w:val="20"/>
                <w:szCs w:val="20"/>
              </w:rPr>
              <w:t xml:space="preserve"> monitoring assessments, Inspector General reviews, or other Government Agency reviews of LIHEAP agency finances.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describe whether the cited audit findings or relevant operations have been resolved or corrected.  If not, please describe the plan and timeline for doing so in FY</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there is no plan in place, please explain why not.</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BB3B75">
        <w:trPr>
          <w:trHeight w:val="1717"/>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F15C21" w:rsidP="004C4FF0">
            <w:pPr>
              <w:rPr>
                <w:rFonts w:ascii="Calibri" w:hAnsi="Calibri" w:cs="Arial"/>
                <w:i/>
                <w:iCs/>
                <w:sz w:val="20"/>
                <w:szCs w:val="20"/>
              </w:rPr>
            </w:pPr>
            <w:r>
              <w:rPr>
                <w:rFonts w:ascii="Calibri" w:hAnsi="Calibri" w:cs="Arial"/>
                <w:i/>
                <w:iCs/>
                <w:sz w:val="20"/>
                <w:szCs w:val="20"/>
              </w:rPr>
              <w:t>There have been no audit findings reported in the prior three (3) years.</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Pr>
                <w:rFonts w:ascii="Calibri" w:hAnsi="Calibri" w:cs="Arial"/>
                <w:sz w:val="20"/>
                <w:szCs w:val="20"/>
              </w:rPr>
              <w:t>There are no findings to correct.</w:t>
            </w:r>
          </w:p>
        </w:tc>
        <w:tc>
          <w:tcPr>
            <w:tcW w:w="2900" w:type="dxa"/>
            <w:tcBorders>
              <w:top w:val="nil"/>
              <w:left w:val="nil"/>
              <w:bottom w:val="single" w:sz="8" w:space="0" w:color="auto"/>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The timely and thorough resolution of weaknesses or reportable conditions as revealed by the audit.</w:t>
            </w:r>
          </w:p>
        </w:tc>
      </w:tr>
      <w:tr w:rsidR="004C4FF0" w:rsidTr="00BB3B75">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bl>
    <w:p w:rsidR="00E74B6E" w:rsidRDefault="00E74B6E" w:rsidP="00E74B6E">
      <w:pPr>
        <w:ind w:hanging="1260"/>
        <w:outlineLvl w:val="0"/>
        <w:rPr>
          <w:rFonts w:ascii="Calibri" w:hAnsi="Calibri"/>
          <w:sz w:val="20"/>
          <w:szCs w:val="20"/>
        </w:rPr>
      </w:pPr>
      <w:r>
        <w:rPr>
          <w:rFonts w:ascii="Calibri" w:hAnsi="Calibri"/>
          <w:sz w:val="20"/>
          <w:szCs w:val="20"/>
        </w:rPr>
        <w:t>Attachment – page 1</w:t>
      </w:r>
    </w:p>
    <w:p w:rsidR="00B33DCD" w:rsidRPr="00D8766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r w:rsidRPr="00B33DCD">
        <w:rPr>
          <w:sz w:val="20"/>
          <w:szCs w:val="20"/>
        </w:rPr>
        <w:t>According to the Paperwork Reduction Act Of 1995 (Pub. L. 104-13), public reporting burden for this collection of information is estimated to average 1 hours per response, including the time for reviewing instructions, gathering and maintaining the data needed, and reviewing the collection of information.</w:t>
      </w:r>
    </w:p>
    <w:p w:rsidR="00B33DCD" w:rsidRP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p>
    <w:p w:rsidR="00B33DCD" w:rsidRPr="00B33DCD" w:rsidRDefault="00B33DCD" w:rsidP="00B33DC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sz w:val="20"/>
          <w:szCs w:val="20"/>
        </w:rPr>
      </w:pPr>
      <w:r w:rsidRPr="00B33DCD">
        <w:rPr>
          <w:sz w:val="20"/>
          <w:szCs w:val="20"/>
        </w:rPr>
        <w:t>An agency may not conduct or sponsor, and a person is not required to respond to, a collection of information unless it displays a currently valid OMB control number.</w:t>
      </w:r>
    </w:p>
    <w:p w:rsidR="00E74B6E" w:rsidRDefault="00E74B6E"/>
    <w:tbl>
      <w:tblPr>
        <w:tblW w:w="10860" w:type="dxa"/>
        <w:tblInd w:w="-1103" w:type="dxa"/>
        <w:tblLook w:val="0000"/>
      </w:tblPr>
      <w:tblGrid>
        <w:gridCol w:w="3040"/>
        <w:gridCol w:w="2860"/>
        <w:gridCol w:w="2900"/>
        <w:gridCol w:w="2060"/>
      </w:tblGrid>
      <w:tr w:rsidR="004C4FF0" w:rsidTr="00BB3B75">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lastRenderedPageBreak/>
              <w:t>COMPLIANCE MONITORING</w:t>
            </w:r>
          </w:p>
        </w:tc>
      </w:tr>
      <w:tr w:rsidR="004C4FF0" w:rsidTr="00BB3B75">
        <w:trPr>
          <w:trHeight w:val="175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Describe the </w:t>
            </w:r>
            <w:r w:rsidR="00BB3B75">
              <w:rPr>
                <w:rFonts w:ascii="Calibri" w:hAnsi="Calibri" w:cs="Arial"/>
                <w:b/>
                <w:bCs/>
                <w:sz w:val="20"/>
                <w:szCs w:val="20"/>
              </w:rPr>
              <w:t>Grantee</w:t>
            </w:r>
            <w:r>
              <w:rPr>
                <w:rFonts w:ascii="Calibri" w:hAnsi="Calibri" w:cs="Arial"/>
                <w:b/>
                <w:bCs/>
                <w:sz w:val="20"/>
                <w:szCs w:val="20"/>
              </w:rPr>
              <w:t>'s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strategies that will continue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for monitoring compliance with State and Federal LIHEAP poli</w:t>
            </w:r>
            <w:r w:rsidR="00BB3B75">
              <w:rPr>
                <w:rFonts w:ascii="Calibri" w:hAnsi="Calibri" w:cs="Arial"/>
                <w:b/>
                <w:bCs/>
                <w:sz w:val="20"/>
                <w:szCs w:val="20"/>
              </w:rPr>
              <w:t>cies and procedures by the Grantee</w:t>
            </w:r>
            <w:r>
              <w:rPr>
                <w:rFonts w:ascii="Calibri" w:hAnsi="Calibri" w:cs="Arial"/>
                <w:b/>
                <w:bCs/>
                <w:sz w:val="20"/>
                <w:szCs w:val="20"/>
              </w:rPr>
              <w:t xml:space="preserve"> and local administering agencies.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any strategies for compliance monitoring from your plan which will be newly implemented as of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a firm compliance monitoring system in place for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please describe how the State is verifying that LIHEAP policy and procedures are being followed.</w:t>
            </w:r>
          </w:p>
        </w:tc>
        <w:tc>
          <w:tcPr>
            <w:tcW w:w="2060" w:type="dxa"/>
            <w:tcBorders>
              <w:top w:val="nil"/>
              <w:left w:val="nil"/>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040" w:type="dxa"/>
            <w:tcBorders>
              <w:top w:val="nil"/>
              <w:left w:val="single" w:sz="8" w:space="0" w:color="auto"/>
              <w:right w:val="single" w:sz="4" w:space="0" w:color="auto"/>
            </w:tcBorders>
            <w:shd w:val="clear" w:color="auto" w:fill="auto"/>
            <w:vAlign w:val="center"/>
          </w:tcPr>
          <w:p w:rsidR="004C4FF0" w:rsidRDefault="00F15C21" w:rsidP="004C4FF0">
            <w:pPr>
              <w:rPr>
                <w:rFonts w:ascii="Calibri" w:hAnsi="Calibri" w:cs="Arial"/>
                <w:i/>
                <w:iCs/>
                <w:sz w:val="20"/>
                <w:szCs w:val="20"/>
              </w:rPr>
            </w:pPr>
            <w:r w:rsidRPr="00CC7426">
              <w:rPr>
                <w:rFonts w:ascii="Calibri" w:hAnsi="Calibri" w:cs="Arial"/>
                <w:iCs/>
                <w:sz w:val="20"/>
                <w:szCs w:val="20"/>
              </w:rPr>
              <w:t>During the FY 201</w:t>
            </w:r>
            <w:r>
              <w:rPr>
                <w:rFonts w:ascii="Calibri" w:hAnsi="Calibri" w:cs="Arial"/>
                <w:iCs/>
                <w:sz w:val="20"/>
                <w:szCs w:val="20"/>
              </w:rPr>
              <w:t>3</w:t>
            </w:r>
            <w:r w:rsidRPr="00CC7426">
              <w:rPr>
                <w:rFonts w:ascii="Calibri" w:hAnsi="Calibri" w:cs="Arial"/>
                <w:iCs/>
                <w:sz w:val="20"/>
                <w:szCs w:val="20"/>
              </w:rPr>
              <w:t xml:space="preserve"> season, </w:t>
            </w:r>
            <w:r w:rsidRPr="002A0AB3">
              <w:rPr>
                <w:rFonts w:ascii="Calibri" w:hAnsi="Calibri" w:cs="Arial"/>
                <w:iCs/>
                <w:sz w:val="22"/>
                <w:szCs w:val="22"/>
              </w:rPr>
              <w:t xml:space="preserve">Wyoming randomly selected and reviewed 3% of total client files and will continue to increase this percentage to a goal of 5% of total client files per season.  This shows a steady increase since FY 2010.  Wyoming will also continually work to increase the quality assurance requirements from sub-recipients (contractors).  Contractor is required to review 5% of completed client files for accuracy.  Contract staff is provided with LIEAP Desk Reference Manuals that include all policy and rules.  State Program Manager may also make on-site visits to the Contractor’s location as part of compliance monitoring.  Sub-recipient contractor is expected to hire qualified staff to each specific job description and to hold them accountable to the required performance. measures.  Accuracy in both data entry and the verification process is a high priority and the expectation is that sub-recipient contractor(s) diligently work to achieve 100% accuracy.  </w:t>
            </w:r>
            <w:r w:rsidRPr="002A0AB3">
              <w:rPr>
                <w:rFonts w:asciiTheme="minorHAnsi" w:hAnsiTheme="minorHAnsi"/>
                <w:sz w:val="22"/>
                <w:szCs w:val="22"/>
              </w:rPr>
              <w:t>Written performance appraisals are required for all LIEAP staff (State &amp; sub-recipient levels).</w:t>
            </w:r>
          </w:p>
        </w:tc>
        <w:tc>
          <w:tcPr>
            <w:tcW w:w="2860" w:type="dxa"/>
            <w:tcBorders>
              <w:top w:val="nil"/>
              <w:left w:val="nil"/>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Pr>
                <w:rFonts w:ascii="Calibri" w:hAnsi="Calibri" w:cs="Arial"/>
                <w:sz w:val="20"/>
                <w:szCs w:val="20"/>
              </w:rPr>
              <w:t xml:space="preserve">Continue to increase percentage of client files reviewed towards achieving a goal of 5% of total files per season.  </w:t>
            </w:r>
            <w:r w:rsidR="00F15C21" w:rsidRPr="00002793">
              <w:rPr>
                <w:rFonts w:asciiTheme="minorHAnsi" w:hAnsiTheme="minorHAnsi"/>
                <w:sz w:val="20"/>
                <w:szCs w:val="20"/>
              </w:rPr>
              <w:t>Wyoming will also continually work to increase the quality assurance requirements from sub-recipients (contractors).</w:t>
            </w:r>
            <w:r w:rsidR="00F15C21">
              <w:rPr>
                <w:rFonts w:asciiTheme="minorHAnsi" w:hAnsiTheme="minorHAnsi"/>
                <w:sz w:val="20"/>
                <w:szCs w:val="20"/>
              </w:rPr>
              <w:t xml:space="preserve">  State Program Manager will continue to hold monthly meetings with Contractor to provide ongoing training and technical assistance.</w:t>
            </w:r>
          </w:p>
        </w:tc>
        <w:tc>
          <w:tcPr>
            <w:tcW w:w="2900" w:type="dxa"/>
            <w:tcBorders>
              <w:top w:val="nil"/>
              <w:left w:val="nil"/>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Pr>
                <w:rFonts w:ascii="Calibri" w:hAnsi="Calibri" w:cs="Arial"/>
                <w:sz w:val="20"/>
                <w:szCs w:val="20"/>
              </w:rPr>
              <w:t>N/A</w:t>
            </w:r>
          </w:p>
        </w:tc>
        <w:tc>
          <w:tcPr>
            <w:tcW w:w="2060" w:type="dxa"/>
            <w:tcBorders>
              <w:top w:val="nil"/>
              <w:left w:val="single" w:sz="4"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A sound methodology, with a schedule for regular monitoring and a more effective monitoring tool to gather information.</w:t>
            </w:r>
          </w:p>
        </w:tc>
      </w:tr>
      <w:tr w:rsidR="00E74B6E" w:rsidTr="00E74B6E">
        <w:trPr>
          <w:trHeight w:val="378"/>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2060"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p w:rsidR="004C4FF0" w:rsidRDefault="004C4FF0" w:rsidP="004C4FF0">
      <w:pPr>
        <w:outlineLvl w:val="0"/>
        <w:rPr>
          <w:rFonts w:ascii="Calibri" w:hAnsi="Calibri"/>
          <w:sz w:val="20"/>
          <w:szCs w:val="20"/>
        </w:rPr>
      </w:pPr>
    </w:p>
    <w:tbl>
      <w:tblPr>
        <w:tblW w:w="10860" w:type="dxa"/>
        <w:tblInd w:w="-1103" w:type="dxa"/>
        <w:tblLook w:val="0000"/>
      </w:tblPr>
      <w:tblGrid>
        <w:gridCol w:w="3040"/>
        <w:gridCol w:w="2860"/>
        <w:gridCol w:w="2900"/>
        <w:gridCol w:w="2060"/>
      </w:tblGrid>
      <w:tr w:rsidR="004C4FF0" w:rsidTr="00E74B6E">
        <w:trPr>
          <w:trHeight w:val="40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lastRenderedPageBreak/>
              <w:t>FRAUD REPORTING MECHANISMS</w:t>
            </w:r>
          </w:p>
        </w:tc>
      </w:tr>
      <w:tr w:rsidR="004C4FF0" w:rsidTr="00E74B6E">
        <w:trPr>
          <w:trHeight w:val="2338"/>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For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activities continuing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please describe all (a) mechanisms available to the public for reporting cases of suspected LIHEAP fraud, waste or abuse [These may include telephone hotlines, websites, email addresses, etc.]</w:t>
            </w:r>
            <w:r w:rsidR="00BB3B75">
              <w:rPr>
                <w:rFonts w:ascii="Calibri" w:hAnsi="Calibri" w:cs="Arial"/>
                <w:b/>
                <w:bCs/>
                <w:sz w:val="20"/>
                <w:szCs w:val="20"/>
              </w:rPr>
              <w:t>;</w:t>
            </w:r>
            <w:r>
              <w:rPr>
                <w:rFonts w:ascii="Calibri" w:hAnsi="Calibri" w:cs="Arial"/>
                <w:b/>
                <w:bCs/>
                <w:sz w:val="20"/>
                <w:szCs w:val="20"/>
              </w:rPr>
              <w:t xml:space="preserve"> (b) strategies for advertising these resources.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any tools or mechanisms from your plan which will be newly implemented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and the timeline for that implementation.</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any tools or mechanisms available to the public to prevent fraud or improper payments, please describe your plan for involving all citizens and stakeholders involved with your program in detecting fraud.</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of these strategies and systems</w:t>
            </w:r>
          </w:p>
        </w:tc>
      </w:tr>
      <w:tr w:rsidR="004C4FF0" w:rsidTr="00E74B6E">
        <w:trPr>
          <w:trHeight w:val="232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F15C21" w:rsidP="004C4FF0">
            <w:pPr>
              <w:rPr>
                <w:rFonts w:ascii="Calibri" w:hAnsi="Calibri" w:cs="Arial"/>
                <w:i/>
                <w:iCs/>
                <w:sz w:val="20"/>
                <w:szCs w:val="20"/>
              </w:rPr>
            </w:pPr>
            <w:r w:rsidRPr="006459B6">
              <w:rPr>
                <w:rFonts w:asciiTheme="minorHAnsi" w:hAnsiTheme="minorHAnsi"/>
                <w:sz w:val="20"/>
                <w:szCs w:val="20"/>
              </w:rPr>
              <w:t>Reports of possible fraud are received from various sources.  These may include phone call reports from a person; reports from local authorities; reports from fuel vendors just to name a few.  When reports of possible fraud are received, pertinent evidence is gathered.  We have a unit within the Financial Services Division of our Department that handles possible issues of fraud.  Prosecution, Recovery, Investigation, Collection Enforcement (PRICE) has the authority and responsibility under W.S. 42-2-112 to prosecute and pursue repayment of benefits paid incorrectly by DFS to or on behalf of a recipient(s), whether caused by the recipient, the provider or the agency.</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sidRPr="006459B6">
              <w:rPr>
                <w:rFonts w:asciiTheme="minorHAnsi" w:hAnsiTheme="minorHAnsi"/>
                <w:sz w:val="20"/>
                <w:szCs w:val="20"/>
              </w:rPr>
              <w:t>There are no changes to our Plan for FY201</w:t>
            </w:r>
            <w:r w:rsidR="00F15C21">
              <w:rPr>
                <w:rFonts w:asciiTheme="minorHAnsi" w:hAnsiTheme="minorHAnsi"/>
                <w:sz w:val="20"/>
                <w:szCs w:val="20"/>
              </w:rPr>
              <w:t>4</w:t>
            </w:r>
            <w:r w:rsidR="00F15C21" w:rsidRPr="006459B6">
              <w:rPr>
                <w:rFonts w:asciiTheme="minorHAnsi" w:hAnsiTheme="minorHAnsi"/>
                <w:sz w:val="20"/>
                <w:szCs w:val="20"/>
              </w:rPr>
              <w:t xml:space="preserve"> as the process we have in place works well.  We do have another reporting mechanism, however, with the addition of the website comment card.  The LIEAP application includes: “I declare that the information given by me in this application is true and correct.  I understand the penalty for providing false information shall be no more than a $15,000 fine, or not more than 5 years imprisonment or both.”  Applicants must initial this declaration and sign and date the application.</w:t>
            </w:r>
          </w:p>
        </w:tc>
        <w:tc>
          <w:tcPr>
            <w:tcW w:w="2900" w:type="dxa"/>
            <w:tcBorders>
              <w:top w:val="nil"/>
              <w:left w:val="nil"/>
              <w:bottom w:val="single" w:sz="8" w:space="0" w:color="auto"/>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F15C21">
              <w:rPr>
                <w:rFonts w:ascii="Calibri" w:hAnsi="Calibr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Clear lines of communication for citizens, grantees, clients, and employees to use in pointing out potential cases of fraud or improper payments to State administrators.</w:t>
            </w:r>
          </w:p>
        </w:tc>
      </w:tr>
      <w:tr w:rsidR="004C4FF0" w:rsidTr="00E74B6E">
        <w:trPr>
          <w:trHeight w:val="315"/>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bl>
    <w:p w:rsidR="00E74B6E" w:rsidRDefault="00E74B6E" w:rsidP="00E74B6E">
      <w:pPr>
        <w:ind w:hanging="1260"/>
        <w:outlineLvl w:val="0"/>
        <w:rPr>
          <w:rFonts w:ascii="Calibri" w:hAnsi="Calibri"/>
          <w:sz w:val="20"/>
          <w:szCs w:val="20"/>
        </w:rPr>
      </w:pPr>
      <w:r>
        <w:rPr>
          <w:rFonts w:ascii="Calibri" w:hAnsi="Calibri"/>
          <w:sz w:val="20"/>
          <w:szCs w:val="20"/>
        </w:rPr>
        <w:t>Attachment – page 2</w:t>
      </w:r>
    </w:p>
    <w:p w:rsidR="00E74B6E" w:rsidRDefault="00E74B6E">
      <w:r>
        <w:br w:type="page"/>
      </w:r>
    </w:p>
    <w:tbl>
      <w:tblPr>
        <w:tblW w:w="10860" w:type="dxa"/>
        <w:tblInd w:w="-1103" w:type="dxa"/>
        <w:tblLook w:val="0000"/>
      </w:tblPr>
      <w:tblGrid>
        <w:gridCol w:w="3040"/>
        <w:gridCol w:w="2860"/>
        <w:gridCol w:w="2900"/>
        <w:gridCol w:w="2060"/>
      </w:tblGrid>
      <w:tr w:rsidR="004C4FF0" w:rsidTr="00E74B6E">
        <w:trPr>
          <w:trHeight w:val="49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VERIFYING APPLICANT IDENTITIES</w:t>
            </w:r>
          </w:p>
        </w:tc>
      </w:tr>
      <w:tr w:rsidR="004C4FF0" w:rsidTr="00E74B6E">
        <w:trPr>
          <w:trHeight w:val="182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Describe all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w:t>
            </w:r>
            <w:r w:rsidR="00BB3B75">
              <w:rPr>
                <w:rFonts w:ascii="Calibri" w:hAnsi="Calibri" w:cs="Arial"/>
                <w:b/>
                <w:bCs/>
                <w:sz w:val="20"/>
                <w:szCs w:val="20"/>
              </w:rPr>
              <w:t>Grantee</w:t>
            </w:r>
            <w:r>
              <w:rPr>
                <w:rFonts w:ascii="Calibri" w:hAnsi="Calibri" w:cs="Arial"/>
                <w:b/>
                <w:bCs/>
                <w:sz w:val="20"/>
                <w:szCs w:val="20"/>
              </w:rPr>
              <w:t xml:space="preserve"> policies continuing in FY</w:t>
            </w:r>
            <w:r w:rsidR="00404B95">
              <w:rPr>
                <w:rFonts w:ascii="Calibri" w:hAnsi="Calibri" w:cs="Arial"/>
                <w:b/>
                <w:bCs/>
                <w:sz w:val="20"/>
                <w:szCs w:val="20"/>
              </w:rPr>
              <w:t>2014</w:t>
            </w:r>
            <w:r>
              <w:rPr>
                <w:rFonts w:ascii="Calibri" w:hAnsi="Calibri" w:cs="Arial"/>
                <w:b/>
                <w:bCs/>
                <w:sz w:val="20"/>
                <w:szCs w:val="20"/>
              </w:rPr>
              <w:t xml:space="preserve"> for how identities of applicants and household members are verified.</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any policy or strategy from your plan which will be newly implemented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you don't have a system in place for verifying applicant's identities, please explain why and how the </w:t>
            </w:r>
            <w:r w:rsidR="00BB3B75">
              <w:rPr>
                <w:rFonts w:ascii="Calibri" w:hAnsi="Calibri" w:cs="Arial"/>
                <w:b/>
                <w:bCs/>
                <w:sz w:val="20"/>
                <w:szCs w:val="20"/>
              </w:rPr>
              <w:t>Grantee</w:t>
            </w:r>
            <w:r>
              <w:rPr>
                <w:rFonts w:ascii="Calibri" w:hAnsi="Calibri" w:cs="Arial"/>
                <w:b/>
                <w:bCs/>
                <w:sz w:val="20"/>
                <w:szCs w:val="20"/>
              </w:rPr>
              <w:t xml:space="preserve"> is ensuring that only authentic and eligible applicants are receiving benefits.</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51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8575BC" w:rsidP="004C4FF0">
            <w:pPr>
              <w:rPr>
                <w:rFonts w:ascii="Calibri" w:hAnsi="Calibri" w:cs="Arial"/>
                <w:i/>
                <w:iCs/>
                <w:sz w:val="20"/>
                <w:szCs w:val="20"/>
              </w:rPr>
            </w:pPr>
            <w:r w:rsidRPr="00636DA6">
              <w:rPr>
                <w:rFonts w:asciiTheme="minorHAnsi" w:hAnsiTheme="minorHAnsi"/>
                <w:sz w:val="20"/>
                <w:szCs w:val="20"/>
              </w:rPr>
              <w:t>Applicant &amp; HH member identities are verified by requiring all applicants and HH members to submit copies of original SS cards, birth certificates, Valid Driver’s Licenses, Valid Passports, School records or Health Insurance Cards.  Applications may not be processed without proper verification of identifications.  Illegible copies are not acceptable.</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cs="Arial"/>
                <w:sz w:val="20"/>
                <w:szCs w:val="20"/>
              </w:rPr>
              <w:t> </w:t>
            </w:r>
            <w:r w:rsidR="008575BC" w:rsidRPr="00636DA6">
              <w:rPr>
                <w:rFonts w:asciiTheme="minorHAnsi" w:hAnsiTheme="minorHAnsi"/>
                <w:sz w:val="20"/>
                <w:szCs w:val="20"/>
              </w:rPr>
              <w:t>In FY 201</w:t>
            </w:r>
            <w:r w:rsidR="008575BC">
              <w:rPr>
                <w:rFonts w:asciiTheme="minorHAnsi" w:hAnsiTheme="minorHAnsi"/>
                <w:sz w:val="20"/>
                <w:szCs w:val="20"/>
              </w:rPr>
              <w:t>4</w:t>
            </w:r>
            <w:r w:rsidR="008575BC" w:rsidRPr="00636DA6">
              <w:rPr>
                <w:rFonts w:asciiTheme="minorHAnsi" w:hAnsiTheme="minorHAnsi"/>
                <w:sz w:val="20"/>
                <w:szCs w:val="20"/>
              </w:rPr>
              <w:t>, Wyoming will continue verifying identification as per FY 201</w:t>
            </w:r>
            <w:r w:rsidR="008575BC">
              <w:rPr>
                <w:rFonts w:asciiTheme="minorHAnsi" w:hAnsiTheme="minorHAnsi"/>
                <w:sz w:val="20"/>
                <w:szCs w:val="20"/>
              </w:rPr>
              <w:t>3</w:t>
            </w:r>
            <w:r w:rsidR="008575BC" w:rsidRPr="00636DA6">
              <w:rPr>
                <w:rFonts w:asciiTheme="minorHAnsi" w:hAnsiTheme="minorHAnsi"/>
                <w:sz w:val="20"/>
                <w:szCs w:val="20"/>
              </w:rPr>
              <w:t>.  Applications submitted without legible, acceptable copies of identification verification, as per State LIEAP policy, will be pended and/or denied until acceptable forms of identification are submitted.</w:t>
            </w:r>
          </w:p>
        </w:tc>
        <w:tc>
          <w:tcPr>
            <w:tcW w:w="2900" w:type="dxa"/>
            <w:tcBorders>
              <w:top w:val="nil"/>
              <w:left w:val="nil"/>
              <w:bottom w:val="single" w:sz="8" w:space="0" w:color="auto"/>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cs="Arial"/>
                <w:sz w:val="20"/>
                <w:szCs w:val="20"/>
              </w:rPr>
              <w:t> 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Income and energy supplier data that allow program benefits to be provided to eligible individuals.</w:t>
            </w:r>
          </w:p>
        </w:tc>
      </w:tr>
      <w:tr w:rsidR="004C4FF0" w:rsidTr="00E74B6E">
        <w:trPr>
          <w:trHeight w:val="259"/>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E74B6E">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SOCIAL SECURITY NUMBER REQUESTS</w:t>
            </w:r>
          </w:p>
        </w:tc>
      </w:tr>
      <w:tr w:rsidR="004C4FF0" w:rsidTr="00E74B6E">
        <w:trPr>
          <w:trHeight w:val="182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Describe the </w:t>
            </w:r>
            <w:r w:rsidR="00BB3B75">
              <w:rPr>
                <w:rFonts w:ascii="Calibri" w:hAnsi="Calibri" w:cs="Arial"/>
                <w:b/>
                <w:bCs/>
                <w:sz w:val="20"/>
                <w:szCs w:val="20"/>
              </w:rPr>
              <w:t>Grantee</w:t>
            </w:r>
            <w:r>
              <w:rPr>
                <w:rFonts w:ascii="Calibri" w:hAnsi="Calibri" w:cs="Arial"/>
                <w:b/>
                <w:bCs/>
                <w:sz w:val="20"/>
                <w:szCs w:val="20"/>
              </w:rPr>
              <w:t>'s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policy in regards to requiring Social Security Numbers from applicants and/or household members applying for LIHEAP benefits.</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describe whether the State's policy for requiring or not requiring Social Security numbers is new as of FY</w:t>
            </w:r>
            <w:r w:rsidR="00404B95">
              <w:rPr>
                <w:rFonts w:ascii="Calibri" w:hAnsi="Calibri" w:cs="Arial"/>
                <w:b/>
                <w:bCs/>
                <w:sz w:val="20"/>
                <w:szCs w:val="20"/>
              </w:rPr>
              <w:t>2014</w:t>
            </w:r>
            <w:r>
              <w:rPr>
                <w:rFonts w:ascii="Calibri" w:hAnsi="Calibri" w:cs="Arial"/>
                <w:b/>
                <w:bCs/>
                <w:sz w:val="20"/>
                <w:szCs w:val="20"/>
              </w:rPr>
              <w:t>, or remaining the same.</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is not requiring Social Security Numbers of LIHEAP applicants and/or household members, please explain what supplementary measures are being employed to prevent fraud.</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267"/>
        </w:trPr>
        <w:tc>
          <w:tcPr>
            <w:tcW w:w="3040" w:type="dxa"/>
            <w:tcBorders>
              <w:top w:val="nil"/>
              <w:left w:val="single" w:sz="8" w:space="0" w:color="auto"/>
              <w:right w:val="single" w:sz="4" w:space="0" w:color="auto"/>
            </w:tcBorders>
            <w:shd w:val="clear" w:color="auto" w:fill="auto"/>
            <w:vAlign w:val="center"/>
          </w:tcPr>
          <w:p w:rsidR="004C4FF0" w:rsidRDefault="008575BC" w:rsidP="004C4FF0">
            <w:pPr>
              <w:rPr>
                <w:rFonts w:ascii="Calibri" w:hAnsi="Calibri" w:cs="Arial"/>
                <w:i/>
                <w:iCs/>
                <w:sz w:val="20"/>
                <w:szCs w:val="20"/>
              </w:rPr>
            </w:pPr>
            <w:r w:rsidRPr="00636DA6">
              <w:rPr>
                <w:rFonts w:asciiTheme="minorHAnsi" w:hAnsiTheme="minorHAnsi"/>
                <w:sz w:val="20"/>
                <w:szCs w:val="20"/>
              </w:rPr>
              <w:t>Wyoming encourages applicants and all HH members to provide SSNs by including it on the application and approximately 80% of all applicants do voluntarily supply the SSNs on the applications.  However, Wyoming does not require SSNs as part of eligibility.</w:t>
            </w:r>
          </w:p>
        </w:tc>
        <w:tc>
          <w:tcPr>
            <w:tcW w:w="2860" w:type="dxa"/>
            <w:tcBorders>
              <w:top w:val="nil"/>
              <w:left w:val="nil"/>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cs="Arial"/>
                <w:sz w:val="20"/>
                <w:szCs w:val="20"/>
              </w:rPr>
              <w:t> </w:t>
            </w:r>
            <w:r w:rsidR="008575BC" w:rsidRPr="00636DA6">
              <w:rPr>
                <w:rFonts w:asciiTheme="minorHAnsi" w:hAnsiTheme="minorHAnsi"/>
                <w:sz w:val="20"/>
                <w:szCs w:val="20"/>
              </w:rPr>
              <w:t>For FY 201</w:t>
            </w:r>
            <w:r w:rsidR="008575BC">
              <w:rPr>
                <w:rFonts w:asciiTheme="minorHAnsi" w:hAnsiTheme="minorHAnsi"/>
                <w:sz w:val="20"/>
                <w:szCs w:val="20"/>
              </w:rPr>
              <w:t>4</w:t>
            </w:r>
            <w:r w:rsidR="008575BC" w:rsidRPr="00636DA6">
              <w:rPr>
                <w:rFonts w:asciiTheme="minorHAnsi" w:hAnsiTheme="minorHAnsi"/>
                <w:sz w:val="20"/>
                <w:szCs w:val="20"/>
              </w:rPr>
              <w:t xml:space="preserve">, Wyoming’s policy on requiring SSNs shall remain the same.  </w:t>
            </w:r>
          </w:p>
        </w:tc>
        <w:tc>
          <w:tcPr>
            <w:tcW w:w="2900" w:type="dxa"/>
            <w:tcBorders>
              <w:top w:val="nil"/>
              <w:left w:val="nil"/>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cs="Arial"/>
                <w:sz w:val="20"/>
                <w:szCs w:val="20"/>
              </w:rPr>
              <w:t> </w:t>
            </w:r>
            <w:r w:rsidR="008575BC" w:rsidRPr="00636DA6">
              <w:rPr>
                <w:rFonts w:asciiTheme="minorHAnsi" w:hAnsiTheme="minorHAnsi"/>
                <w:sz w:val="20"/>
                <w:szCs w:val="20"/>
              </w:rPr>
              <w:t>Wyoming requires that all applicants and HH members submit legible, approved copies of identification verification to ensure validity of all HH members repo</w:t>
            </w:r>
            <w:r w:rsidR="008575BC">
              <w:rPr>
                <w:rFonts w:asciiTheme="minorHAnsi" w:hAnsiTheme="minorHAnsi"/>
                <w:sz w:val="20"/>
                <w:szCs w:val="20"/>
              </w:rPr>
              <w:t>rted on the application</w:t>
            </w:r>
          </w:p>
        </w:tc>
        <w:tc>
          <w:tcPr>
            <w:tcW w:w="2060" w:type="dxa"/>
            <w:tcBorders>
              <w:top w:val="nil"/>
              <w:left w:val="single" w:sz="4"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All valid household members are reported for correct benefit determination.</w:t>
            </w:r>
          </w:p>
        </w:tc>
      </w:tr>
      <w:tr w:rsidR="00E74B6E" w:rsidTr="00E74B6E">
        <w:trPr>
          <w:trHeight w:val="315"/>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2060"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p w:rsidR="00451674" w:rsidRDefault="00451674" w:rsidP="00451674">
      <w:pPr>
        <w:outlineLvl w:val="0"/>
        <w:rPr>
          <w:rFonts w:ascii="Calibri" w:hAnsi="Calibri"/>
          <w:sz w:val="20"/>
          <w:szCs w:val="20"/>
        </w:rPr>
      </w:pPr>
    </w:p>
    <w:p w:rsidR="00451674" w:rsidRDefault="00451674" w:rsidP="00451674">
      <w:pPr>
        <w:ind w:hanging="1260"/>
        <w:outlineLvl w:val="0"/>
        <w:rPr>
          <w:rFonts w:ascii="Calibri" w:hAnsi="Calibri"/>
          <w:sz w:val="20"/>
          <w:szCs w:val="20"/>
        </w:rPr>
      </w:pPr>
      <w:r>
        <w:rPr>
          <w:rFonts w:ascii="Calibri" w:hAnsi="Calibri"/>
          <w:sz w:val="20"/>
          <w:szCs w:val="20"/>
        </w:rPr>
        <w:t>Attachment – page 3</w:t>
      </w:r>
    </w:p>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451674" w:rsidRDefault="00451674"/>
    <w:p w:rsidR="00E74B6E" w:rsidRDefault="00E74B6E">
      <w:r>
        <w:br w:type="page"/>
      </w:r>
    </w:p>
    <w:tbl>
      <w:tblPr>
        <w:tblW w:w="10860" w:type="dxa"/>
        <w:tblInd w:w="-1103" w:type="dxa"/>
        <w:tblLook w:val="0000"/>
      </w:tblPr>
      <w:tblGrid>
        <w:gridCol w:w="3040"/>
        <w:gridCol w:w="2860"/>
        <w:gridCol w:w="2900"/>
        <w:gridCol w:w="2060"/>
      </w:tblGrid>
      <w:tr w:rsidR="004C4FF0" w:rsidTr="00E74B6E">
        <w:trPr>
          <w:trHeight w:val="48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CROSS-CHECKING SOCIAL SECURITY NUMBERS AGAINST GOVERNMENT SYSTEMS/DATABASES</w:t>
            </w:r>
          </w:p>
        </w:tc>
      </w:tr>
      <w:tr w:rsidR="004C4FF0" w:rsidTr="00E74B6E">
        <w:trPr>
          <w:trHeight w:val="2077"/>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Describe if and how the </w:t>
            </w:r>
            <w:r w:rsidR="00BB3B75">
              <w:rPr>
                <w:rFonts w:ascii="Calibri" w:hAnsi="Calibri" w:cs="Arial"/>
                <w:b/>
                <w:bCs/>
                <w:sz w:val="20"/>
                <w:szCs w:val="20"/>
              </w:rPr>
              <w:t>Grantee</w:t>
            </w:r>
            <w:r>
              <w:rPr>
                <w:rFonts w:ascii="Calibri" w:hAnsi="Calibri" w:cs="Arial"/>
                <w:b/>
                <w:bCs/>
                <w:sz w:val="20"/>
                <w:szCs w:val="20"/>
              </w:rPr>
              <w:t xml:space="preserve"> used existing government systems and databases to verify applicant or household member identities in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and continuing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w:t>
            </w:r>
            <w:r w:rsidR="00BB3B75">
              <w:rPr>
                <w:rFonts w:ascii="Calibri" w:hAnsi="Calibri" w:cs="Arial"/>
                <w:b/>
                <w:bCs/>
                <w:sz w:val="20"/>
                <w:szCs w:val="20"/>
              </w:rPr>
              <w:t xml:space="preserve"> </w:t>
            </w:r>
            <w:r>
              <w:rPr>
                <w:rFonts w:ascii="Calibri" w:hAnsi="Calibri" w:cs="Arial"/>
                <w:b/>
                <w:bCs/>
                <w:sz w:val="20"/>
                <w:szCs w:val="20"/>
              </w:rPr>
              <w:t>(Social Security Administration Enumeration Verification System, prisoner databases, Government death records, etc.)</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which, if any, policies or strategies for using existing government databases will be newly implemented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won't be cross checking Social Security Numbers and ID information with existing government databases, please describe how the </w:t>
            </w:r>
            <w:r w:rsidR="00BB3B75">
              <w:rPr>
                <w:rFonts w:ascii="Calibri" w:hAnsi="Calibri" w:cs="Arial"/>
                <w:b/>
                <w:bCs/>
                <w:sz w:val="20"/>
                <w:szCs w:val="20"/>
              </w:rPr>
              <w:t>Grantee</w:t>
            </w:r>
            <w:r>
              <w:rPr>
                <w:rFonts w:ascii="Calibri" w:hAnsi="Calibri" w:cs="Arial"/>
                <w:b/>
                <w:bCs/>
                <w:sz w:val="20"/>
                <w:szCs w:val="20"/>
              </w:rPr>
              <w:t xml:space="preserve"> will supplement this fraud prevention strategy.</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815"/>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8575BC" w:rsidP="004C4FF0">
            <w:pPr>
              <w:rPr>
                <w:rFonts w:ascii="Calibri" w:hAnsi="Calibri" w:cs="Arial"/>
                <w:i/>
                <w:iCs/>
                <w:sz w:val="20"/>
                <w:szCs w:val="20"/>
              </w:rPr>
            </w:pPr>
            <w:r w:rsidRPr="00636DA6">
              <w:rPr>
                <w:rFonts w:asciiTheme="minorHAnsi" w:hAnsiTheme="minorHAnsi"/>
                <w:sz w:val="20"/>
                <w:szCs w:val="20"/>
              </w:rPr>
              <w:t>Wyoming does not currently cross-check social security numbers against other government systems/databases.  This has not been a requirement of the Department of Health and Human Services (DHHS).</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cs="Arial"/>
                <w:sz w:val="20"/>
                <w:szCs w:val="20"/>
              </w:rPr>
              <w:t> </w:t>
            </w:r>
            <w:r w:rsidR="008575BC" w:rsidRPr="00636DA6">
              <w:rPr>
                <w:rFonts w:asciiTheme="minorHAnsi" w:hAnsiTheme="minorHAnsi"/>
                <w:sz w:val="20"/>
                <w:szCs w:val="20"/>
              </w:rPr>
              <w:t>Wyoming will not be implementing anything new in this area for FY 201</w:t>
            </w:r>
            <w:r w:rsidR="008575BC">
              <w:rPr>
                <w:rFonts w:asciiTheme="minorHAnsi" w:hAnsiTheme="minorHAnsi"/>
                <w:sz w:val="20"/>
                <w:szCs w:val="20"/>
              </w:rPr>
              <w:t>4</w:t>
            </w:r>
            <w:r w:rsidR="008575BC" w:rsidRPr="00636DA6">
              <w:rPr>
                <w:rFonts w:asciiTheme="minorHAnsi" w:hAnsiTheme="minorHAnsi"/>
                <w:sz w:val="20"/>
                <w:szCs w:val="20"/>
              </w:rPr>
              <w:t>.  We will await guidance from DHHS.</w:t>
            </w:r>
          </w:p>
        </w:tc>
        <w:tc>
          <w:tcPr>
            <w:tcW w:w="2900" w:type="dxa"/>
            <w:tcBorders>
              <w:top w:val="nil"/>
              <w:left w:val="nil"/>
              <w:bottom w:val="single" w:sz="8" w:space="0" w:color="auto"/>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8575BC" w:rsidRPr="00636DA6">
              <w:rPr>
                <w:rFonts w:asciiTheme="minorHAnsi" w:hAnsiTheme="minorHAnsi"/>
                <w:sz w:val="20"/>
                <w:szCs w:val="20"/>
              </w:rPr>
              <w:t>Wyoming’s current method of requiring approved and legible verification documents from all applicants and HH members before an application may be approved for benefits ensures that sound eligibility determinations are made.  Our LIEAP computer system will not allow benefits to be approved without all verifications first being loaded into the system.</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Use of all available database systems to make sound eligibility determination.</w:t>
            </w:r>
          </w:p>
        </w:tc>
      </w:tr>
      <w:tr w:rsidR="004C4FF0" w:rsidTr="00E74B6E">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r w:rsidR="004C4FF0" w:rsidTr="00E74B6E">
        <w:trPr>
          <w:trHeight w:val="36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VERIFYING APPLICANT INCOME</w:t>
            </w:r>
          </w:p>
        </w:tc>
      </w:tr>
      <w:tr w:rsidR="004C4FF0" w:rsidTr="00E74B6E">
        <w:trPr>
          <w:trHeight w:val="1618"/>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Describe how the </w:t>
            </w:r>
            <w:r w:rsidR="00BB3B75">
              <w:rPr>
                <w:rFonts w:ascii="Calibri" w:hAnsi="Calibri" w:cs="Arial"/>
                <w:b/>
                <w:bCs/>
                <w:sz w:val="20"/>
                <w:szCs w:val="20"/>
              </w:rPr>
              <w:t>Grantee</w:t>
            </w:r>
            <w:r>
              <w:rPr>
                <w:rFonts w:ascii="Calibri" w:hAnsi="Calibri" w:cs="Arial"/>
                <w:b/>
                <w:bCs/>
                <w:sz w:val="20"/>
                <w:szCs w:val="20"/>
              </w:rPr>
              <w:t xml:space="preserve"> or designee used State Directories of new hires or similar systems to confirm income eligibility in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and continuing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any policies or strategies for using new hire directories which will be newly implemented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 xml:space="preserve">If the </w:t>
            </w:r>
            <w:r w:rsidR="00BB3B75">
              <w:rPr>
                <w:rFonts w:ascii="Calibri" w:hAnsi="Calibri" w:cs="Arial"/>
                <w:b/>
                <w:bCs/>
                <w:sz w:val="20"/>
                <w:szCs w:val="20"/>
              </w:rPr>
              <w:t>Grantee</w:t>
            </w:r>
            <w:r>
              <w:rPr>
                <w:rFonts w:ascii="Calibri" w:hAnsi="Calibri" w:cs="Arial"/>
                <w:b/>
                <w:bCs/>
                <w:sz w:val="20"/>
                <w:szCs w:val="20"/>
              </w:rPr>
              <w:t xml:space="preserve"> won't be using new hire directories to verify applicant and household member incomes how will the </w:t>
            </w:r>
            <w:r w:rsidR="00BB3B75">
              <w:rPr>
                <w:rFonts w:ascii="Calibri" w:hAnsi="Calibri" w:cs="Arial"/>
                <w:b/>
                <w:bCs/>
                <w:sz w:val="20"/>
                <w:szCs w:val="20"/>
              </w:rPr>
              <w:t>Grantee</w:t>
            </w:r>
            <w:r>
              <w:rPr>
                <w:rFonts w:ascii="Calibri" w:hAnsi="Calibri" w:cs="Arial"/>
                <w:b/>
                <w:bCs/>
                <w:sz w:val="20"/>
                <w:szCs w:val="20"/>
              </w:rPr>
              <w:t xml:space="preserve"> be verifying the that information?</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1960"/>
        </w:trPr>
        <w:tc>
          <w:tcPr>
            <w:tcW w:w="3040" w:type="dxa"/>
            <w:tcBorders>
              <w:top w:val="nil"/>
              <w:left w:val="single" w:sz="8" w:space="0" w:color="auto"/>
              <w:bottom w:val="single" w:sz="8" w:space="0" w:color="auto"/>
              <w:right w:val="single" w:sz="4" w:space="0" w:color="auto"/>
            </w:tcBorders>
            <w:shd w:val="clear" w:color="auto" w:fill="auto"/>
            <w:vAlign w:val="center"/>
          </w:tcPr>
          <w:p w:rsidR="004C4FF0" w:rsidRDefault="008575BC" w:rsidP="004C4FF0">
            <w:pPr>
              <w:rPr>
                <w:rFonts w:ascii="Calibri" w:hAnsi="Calibri" w:cs="Arial"/>
                <w:i/>
                <w:iCs/>
                <w:sz w:val="20"/>
                <w:szCs w:val="20"/>
              </w:rPr>
            </w:pPr>
            <w:r w:rsidRPr="00636DA6">
              <w:rPr>
                <w:rFonts w:asciiTheme="minorHAnsi" w:hAnsiTheme="minorHAnsi"/>
                <w:sz w:val="20"/>
                <w:szCs w:val="20"/>
              </w:rPr>
              <w:t>Wyoming requires applicants to submit current verification of all income sources for all HH members receiving income.  For employment, 3 consecutive, current paystubs must be submitted.  If paystubs not available, employer must complete a DFS Employer Statement Form verifying income.  For SS benefits, Wyoming requires current SS benefit letters to verify SS income.  For a full listing of acceptable forms of income verification, please see attached policy excerpts re: income verification.  Applications submitted without acceptable verification of income will be pended and/or denied until acceptable income verification is submitted per State LIEAP policy.</w:t>
            </w:r>
          </w:p>
        </w:tc>
        <w:tc>
          <w:tcPr>
            <w:tcW w:w="2860" w:type="dxa"/>
            <w:tcBorders>
              <w:top w:val="nil"/>
              <w:left w:val="nil"/>
              <w:bottom w:val="single" w:sz="8" w:space="0" w:color="auto"/>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3214F1" w:rsidRPr="00636DA6">
              <w:rPr>
                <w:rFonts w:asciiTheme="minorHAnsi" w:hAnsiTheme="minorHAnsi" w:cs="Arial"/>
                <w:sz w:val="20"/>
                <w:szCs w:val="20"/>
              </w:rPr>
              <w:t> </w:t>
            </w:r>
            <w:r w:rsidR="003214F1" w:rsidRPr="00636DA6">
              <w:rPr>
                <w:rFonts w:asciiTheme="minorHAnsi" w:hAnsiTheme="minorHAnsi"/>
                <w:sz w:val="20"/>
                <w:szCs w:val="20"/>
              </w:rPr>
              <w:t>There are no plans to implement new strategies in FY 201</w:t>
            </w:r>
            <w:r w:rsidR="003214F1">
              <w:rPr>
                <w:rFonts w:asciiTheme="minorHAnsi" w:hAnsiTheme="minorHAnsi"/>
                <w:sz w:val="20"/>
                <w:szCs w:val="20"/>
              </w:rPr>
              <w:t>4</w:t>
            </w:r>
            <w:r w:rsidR="003214F1" w:rsidRPr="00636DA6">
              <w:rPr>
                <w:rFonts w:asciiTheme="minorHAnsi" w:hAnsiTheme="minorHAnsi"/>
                <w:sz w:val="20"/>
                <w:szCs w:val="20"/>
              </w:rPr>
              <w:t>.</w:t>
            </w:r>
          </w:p>
        </w:tc>
        <w:tc>
          <w:tcPr>
            <w:tcW w:w="2900" w:type="dxa"/>
            <w:tcBorders>
              <w:top w:val="nil"/>
              <w:left w:val="nil"/>
              <w:bottom w:val="single" w:sz="8" w:space="0" w:color="auto"/>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3214F1" w:rsidRPr="00636DA6">
              <w:rPr>
                <w:rFonts w:asciiTheme="minorHAnsi" w:hAnsiTheme="minorHAnsi"/>
                <w:sz w:val="20"/>
                <w:szCs w:val="20"/>
              </w:rPr>
              <w:t>Wyoming verifies income for all applicants and HH members by requiring legible approved current copies of income verification documents.</w:t>
            </w:r>
          </w:p>
        </w:tc>
        <w:tc>
          <w:tcPr>
            <w:tcW w:w="2060" w:type="dxa"/>
            <w:tcBorders>
              <w:top w:val="nil"/>
              <w:left w:val="single" w:sz="4"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 xml:space="preserve">Effective income determination achieved through coordination across program lines. </w:t>
            </w:r>
          </w:p>
        </w:tc>
      </w:tr>
      <w:tr w:rsidR="004C4FF0" w:rsidTr="00E74B6E">
        <w:trPr>
          <w:trHeight w:val="270"/>
        </w:trPr>
        <w:tc>
          <w:tcPr>
            <w:tcW w:w="3040" w:type="dxa"/>
            <w:tcBorders>
              <w:top w:val="nil"/>
              <w:left w:val="single" w:sz="8" w:space="0" w:color="auto"/>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4C4FF0" w:rsidRDefault="004C4FF0" w:rsidP="004C4FF0">
            <w:pPr>
              <w:rPr>
                <w:rFonts w:ascii="Calibri" w:hAnsi="Calibri" w:cs="Arial"/>
                <w:sz w:val="20"/>
                <w:szCs w:val="20"/>
              </w:rPr>
            </w:pPr>
            <w:r>
              <w:rPr>
                <w:rFonts w:ascii="Calibri" w:hAnsi="Calibri" w:cs="Arial"/>
                <w:sz w:val="20"/>
                <w:szCs w:val="20"/>
              </w:rPr>
              <w:t> </w:t>
            </w:r>
          </w:p>
        </w:tc>
      </w:tr>
    </w:tbl>
    <w:p w:rsidR="00E74B6E" w:rsidRDefault="00451674" w:rsidP="00E74B6E">
      <w:pPr>
        <w:ind w:hanging="1260"/>
        <w:outlineLvl w:val="0"/>
        <w:rPr>
          <w:rFonts w:ascii="Calibri" w:hAnsi="Calibri"/>
          <w:sz w:val="20"/>
          <w:szCs w:val="20"/>
        </w:rPr>
      </w:pPr>
      <w:r>
        <w:rPr>
          <w:rFonts w:ascii="Calibri" w:hAnsi="Calibri"/>
          <w:sz w:val="20"/>
          <w:szCs w:val="20"/>
        </w:rPr>
        <w:t>Attachment – page 4</w:t>
      </w:r>
    </w:p>
    <w:p w:rsidR="00E74B6E" w:rsidRDefault="00E74B6E">
      <w:r>
        <w:br w:type="page"/>
      </w:r>
    </w:p>
    <w:tbl>
      <w:tblPr>
        <w:tblW w:w="11146" w:type="dxa"/>
        <w:tblInd w:w="-1103" w:type="dxa"/>
        <w:tblLook w:val="0000"/>
      </w:tblPr>
      <w:tblGrid>
        <w:gridCol w:w="3375"/>
        <w:gridCol w:w="3175"/>
        <w:gridCol w:w="3219"/>
        <w:gridCol w:w="1377"/>
      </w:tblGrid>
      <w:tr w:rsidR="004C4FF0" w:rsidTr="00E74B6E">
        <w:trPr>
          <w:trHeight w:val="405"/>
        </w:trPr>
        <w:tc>
          <w:tcPr>
            <w:tcW w:w="11146" w:type="dxa"/>
            <w:gridSpan w:val="4"/>
            <w:tcBorders>
              <w:top w:val="single" w:sz="8" w:space="0" w:color="auto"/>
              <w:left w:val="single" w:sz="8" w:space="0" w:color="auto"/>
              <w:bottom w:val="single" w:sz="8" w:space="0" w:color="auto"/>
              <w:right w:val="single" w:sz="8" w:space="0" w:color="000000"/>
            </w:tcBorders>
            <w:shd w:val="clear" w:color="auto" w:fill="FFFFFF"/>
            <w:noWrap/>
            <w:vAlign w:val="center"/>
          </w:tcPr>
          <w:p w:rsidR="004C4FF0" w:rsidRDefault="004C4FF0" w:rsidP="004C4FF0">
            <w:pPr>
              <w:rPr>
                <w:rFonts w:ascii="Calibri" w:hAnsi="Calibri" w:cs="Arial"/>
                <w:b/>
                <w:bCs/>
              </w:rPr>
            </w:pPr>
            <w:r>
              <w:rPr>
                <w:rFonts w:ascii="Calibri" w:hAnsi="Calibri" w:cs="Arial"/>
                <w:b/>
                <w:bCs/>
              </w:rPr>
              <w:t>PRIVACY-PROTECTION AND CONFIDENTIALITY</w:t>
            </w:r>
          </w:p>
        </w:tc>
      </w:tr>
      <w:tr w:rsidR="004C4FF0" w:rsidTr="00E74B6E">
        <w:trPr>
          <w:trHeight w:val="1780"/>
        </w:trPr>
        <w:tc>
          <w:tcPr>
            <w:tcW w:w="3375"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Describe the financial and operating controls in place in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that will continue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to protect client information against improper use or disclosure.</w:t>
            </w:r>
          </w:p>
        </w:tc>
        <w:tc>
          <w:tcPr>
            <w:tcW w:w="3175"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any controls or strategies from your plan which will be newly implemented as of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3219"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relevant physical or operational controls in place to ensure the security and confidentiality of private information disclosed by applicants, please explain why.</w:t>
            </w:r>
          </w:p>
        </w:tc>
        <w:tc>
          <w:tcPr>
            <w:tcW w:w="1377"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4C4FF0" w:rsidTr="00E74B6E">
        <w:trPr>
          <w:trHeight w:val="2025"/>
        </w:trPr>
        <w:tc>
          <w:tcPr>
            <w:tcW w:w="3375" w:type="dxa"/>
            <w:tcBorders>
              <w:top w:val="nil"/>
              <w:left w:val="single" w:sz="8" w:space="0" w:color="auto"/>
              <w:right w:val="single" w:sz="4" w:space="0" w:color="auto"/>
            </w:tcBorders>
            <w:shd w:val="clear" w:color="auto" w:fill="auto"/>
            <w:vAlign w:val="center"/>
          </w:tcPr>
          <w:p w:rsidR="004C4FF0" w:rsidRDefault="003214F1" w:rsidP="004C4FF0">
            <w:pPr>
              <w:rPr>
                <w:rFonts w:ascii="Calibri" w:hAnsi="Calibri" w:cs="Arial"/>
                <w:i/>
                <w:iCs/>
                <w:sz w:val="20"/>
                <w:szCs w:val="20"/>
              </w:rPr>
            </w:pPr>
            <w:r w:rsidRPr="00636DA6">
              <w:rPr>
                <w:rFonts w:asciiTheme="minorHAnsi" w:hAnsiTheme="minorHAnsi"/>
                <w:sz w:val="20"/>
                <w:szCs w:val="20"/>
              </w:rPr>
              <w:t>Anyone having access to client information in our databases must sign our Security and Confidentiality A</w:t>
            </w:r>
            <w:r>
              <w:rPr>
                <w:rFonts w:asciiTheme="minorHAnsi" w:hAnsiTheme="minorHAnsi"/>
                <w:sz w:val="20"/>
                <w:szCs w:val="20"/>
              </w:rPr>
              <w:t>c</w:t>
            </w:r>
            <w:r w:rsidRPr="00636DA6">
              <w:rPr>
                <w:rFonts w:asciiTheme="minorHAnsi" w:hAnsiTheme="minorHAnsi"/>
                <w:sz w:val="20"/>
                <w:szCs w:val="20"/>
              </w:rPr>
              <w:t>knowledgement Form prior to being granted access to our systems.  This is also used with Contract staff.    All new users must complete the mandatory Confidentiality Agreement and End User Form.  After a user account is configured, that account is given specific application access through the Citrix Server.  “All software application access is managed through a robust, state-of-the-art Citrix server, that acts as a web-server and first line security device.  Citrix server is built to control remote access with encrypted connections and sits behind the State’s DMZ.”</w:t>
            </w:r>
          </w:p>
        </w:tc>
        <w:tc>
          <w:tcPr>
            <w:tcW w:w="3175" w:type="dxa"/>
            <w:tcBorders>
              <w:top w:val="nil"/>
              <w:left w:val="nil"/>
              <w:right w:val="single" w:sz="4"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3214F1" w:rsidRPr="00636DA6">
              <w:rPr>
                <w:rFonts w:asciiTheme="minorHAnsi" w:hAnsiTheme="minorHAnsi"/>
                <w:sz w:val="20"/>
                <w:szCs w:val="20"/>
              </w:rPr>
              <w:t>No changes for FY 201</w:t>
            </w:r>
            <w:r w:rsidR="003214F1">
              <w:rPr>
                <w:rFonts w:asciiTheme="minorHAnsi" w:hAnsiTheme="minorHAnsi"/>
                <w:sz w:val="20"/>
                <w:szCs w:val="20"/>
              </w:rPr>
              <w:t>4</w:t>
            </w:r>
            <w:r w:rsidR="003214F1" w:rsidRPr="00636DA6">
              <w:rPr>
                <w:rFonts w:asciiTheme="minorHAnsi" w:hAnsiTheme="minorHAnsi"/>
                <w:sz w:val="20"/>
                <w:szCs w:val="20"/>
              </w:rPr>
              <w:t>.</w:t>
            </w:r>
          </w:p>
        </w:tc>
        <w:tc>
          <w:tcPr>
            <w:tcW w:w="3219" w:type="dxa"/>
            <w:tcBorders>
              <w:top w:val="nil"/>
              <w:left w:val="nil"/>
              <w:right w:val="single" w:sz="8" w:space="0" w:color="auto"/>
            </w:tcBorders>
            <w:shd w:val="clear" w:color="auto" w:fill="auto"/>
            <w:vAlign w:val="center"/>
          </w:tcPr>
          <w:p w:rsidR="004C4FF0" w:rsidRDefault="004C4FF0" w:rsidP="004C4FF0">
            <w:pPr>
              <w:rPr>
                <w:rFonts w:ascii="Calibri" w:hAnsi="Calibri" w:cs="Arial"/>
                <w:sz w:val="20"/>
                <w:szCs w:val="20"/>
              </w:rPr>
            </w:pPr>
            <w:r>
              <w:rPr>
                <w:rFonts w:ascii="Calibri" w:hAnsi="Calibri" w:cs="Arial"/>
                <w:sz w:val="20"/>
                <w:szCs w:val="20"/>
              </w:rPr>
              <w:t> </w:t>
            </w:r>
            <w:r w:rsidR="003214F1" w:rsidRPr="00636DA6">
              <w:rPr>
                <w:rFonts w:asciiTheme="minorHAnsi" w:hAnsiTheme="minorHAnsi" w:cs="Arial"/>
                <w:sz w:val="20"/>
                <w:szCs w:val="20"/>
              </w:rPr>
              <w:t>N/A</w:t>
            </w:r>
          </w:p>
        </w:tc>
        <w:tc>
          <w:tcPr>
            <w:tcW w:w="1377" w:type="dxa"/>
            <w:tcBorders>
              <w:top w:val="nil"/>
              <w:left w:val="single" w:sz="4" w:space="0" w:color="auto"/>
              <w:right w:val="single" w:sz="8" w:space="0" w:color="auto"/>
            </w:tcBorders>
            <w:shd w:val="clear" w:color="auto" w:fill="C0C0C0"/>
            <w:vAlign w:val="center"/>
          </w:tcPr>
          <w:p w:rsidR="004C4FF0" w:rsidRDefault="004C4FF0" w:rsidP="004C4FF0">
            <w:pPr>
              <w:rPr>
                <w:rFonts w:ascii="Calibri" w:hAnsi="Calibri" w:cs="Arial"/>
                <w:i/>
                <w:iCs/>
                <w:sz w:val="20"/>
                <w:szCs w:val="20"/>
              </w:rPr>
            </w:pPr>
            <w:r>
              <w:rPr>
                <w:rFonts w:ascii="Calibri" w:hAnsi="Calibri" w:cs="Arial"/>
                <w:i/>
                <w:iCs/>
                <w:sz w:val="20"/>
                <w:szCs w:val="20"/>
              </w:rPr>
              <w:t>Clear and secure methods that maintain confidentiality and safeguard the private information of applicants.</w:t>
            </w:r>
          </w:p>
        </w:tc>
      </w:tr>
      <w:tr w:rsidR="00E74B6E" w:rsidTr="00E74B6E">
        <w:trPr>
          <w:trHeight w:val="252"/>
        </w:trPr>
        <w:tc>
          <w:tcPr>
            <w:tcW w:w="3375"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4C4FF0">
            <w:pPr>
              <w:rPr>
                <w:rFonts w:ascii="Calibri" w:hAnsi="Calibri" w:cs="Arial"/>
                <w:i/>
                <w:iCs/>
                <w:sz w:val="20"/>
                <w:szCs w:val="20"/>
              </w:rPr>
            </w:pPr>
          </w:p>
        </w:tc>
        <w:tc>
          <w:tcPr>
            <w:tcW w:w="3175" w:type="dxa"/>
            <w:tcBorders>
              <w:top w:val="nil"/>
              <w:left w:val="nil"/>
              <w:bottom w:val="single" w:sz="8" w:space="0" w:color="auto"/>
              <w:right w:val="single" w:sz="4" w:space="0" w:color="auto"/>
            </w:tcBorders>
            <w:shd w:val="clear" w:color="auto" w:fill="000000"/>
            <w:vAlign w:val="center"/>
          </w:tcPr>
          <w:p w:rsidR="00E74B6E" w:rsidRDefault="00E74B6E" w:rsidP="004C4FF0">
            <w:pPr>
              <w:rPr>
                <w:rFonts w:ascii="Calibri" w:hAnsi="Calibri" w:cs="Arial"/>
                <w:sz w:val="20"/>
                <w:szCs w:val="20"/>
              </w:rPr>
            </w:pPr>
          </w:p>
        </w:tc>
        <w:tc>
          <w:tcPr>
            <w:tcW w:w="3219" w:type="dxa"/>
            <w:tcBorders>
              <w:top w:val="nil"/>
              <w:left w:val="nil"/>
              <w:bottom w:val="single" w:sz="8" w:space="0" w:color="auto"/>
              <w:right w:val="single" w:sz="8" w:space="0" w:color="auto"/>
            </w:tcBorders>
            <w:shd w:val="clear" w:color="auto" w:fill="000000"/>
            <w:vAlign w:val="center"/>
          </w:tcPr>
          <w:p w:rsidR="00E74B6E" w:rsidRDefault="00E74B6E" w:rsidP="004C4FF0">
            <w:pPr>
              <w:rPr>
                <w:rFonts w:ascii="Calibri" w:hAnsi="Calibri" w:cs="Arial"/>
                <w:sz w:val="20"/>
                <w:szCs w:val="20"/>
              </w:rPr>
            </w:pPr>
          </w:p>
        </w:tc>
        <w:tc>
          <w:tcPr>
            <w:tcW w:w="1377"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4C4FF0">
            <w:pPr>
              <w:rPr>
                <w:rFonts w:ascii="Calibri" w:hAnsi="Calibri" w:cs="Arial"/>
                <w:i/>
                <w:iCs/>
                <w:sz w:val="20"/>
                <w:szCs w:val="20"/>
              </w:rPr>
            </w:pPr>
          </w:p>
        </w:tc>
      </w:tr>
    </w:tbl>
    <w:tbl>
      <w:tblPr>
        <w:tblpPr w:leftFromText="180" w:rightFromText="180" w:vertAnchor="text" w:horzAnchor="margin" w:tblpXSpec="center" w:tblpY="116"/>
        <w:tblW w:w="11088" w:type="dxa"/>
        <w:tblLook w:val="0000"/>
      </w:tblPr>
      <w:tblGrid>
        <w:gridCol w:w="3040"/>
        <w:gridCol w:w="2860"/>
        <w:gridCol w:w="2900"/>
        <w:gridCol w:w="2288"/>
      </w:tblGrid>
      <w:tr w:rsidR="00E74B6E" w:rsidTr="00E74B6E">
        <w:trPr>
          <w:trHeight w:val="330"/>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LIHEAP BENEFITS POLICY</w:t>
            </w:r>
          </w:p>
        </w:tc>
      </w:tr>
      <w:tr w:rsidR="00E74B6E" w:rsidTr="00E74B6E">
        <w:trPr>
          <w:trHeight w:val="1870"/>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Describe FY </w:t>
            </w:r>
            <w:r w:rsidR="00404B95">
              <w:rPr>
                <w:rFonts w:ascii="Calibri" w:hAnsi="Calibri" w:cs="Arial"/>
                <w:b/>
                <w:bCs/>
                <w:sz w:val="20"/>
                <w:szCs w:val="20"/>
              </w:rPr>
              <w:t>2013</w:t>
            </w:r>
            <w:r>
              <w:rPr>
                <w:rFonts w:ascii="Calibri" w:hAnsi="Calibri" w:cs="Arial"/>
                <w:b/>
                <w:bCs/>
                <w:sz w:val="20"/>
                <w:szCs w:val="20"/>
              </w:rPr>
              <w:t xml:space="preserve"> Grantee policies continuing in FY </w:t>
            </w:r>
            <w:r w:rsidR="00404B95">
              <w:rPr>
                <w:rFonts w:ascii="Calibri" w:hAnsi="Calibri" w:cs="Arial"/>
                <w:b/>
                <w:bCs/>
                <w:sz w:val="20"/>
                <w:szCs w:val="20"/>
              </w:rPr>
              <w:t>2014</w:t>
            </w:r>
            <w:r>
              <w:rPr>
                <w:rFonts w:ascii="Calibri" w:hAnsi="Calibri" w:cs="Arial"/>
                <w:b/>
                <w:bCs/>
                <w:sz w:val="20"/>
                <w:szCs w:val="20"/>
              </w:rPr>
              <w:t xml:space="preserve"> for protecting against fraud when making payments, or providing benefits to energy vendors on behalf of clients.</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Please highlight any fraud prevention efforts relating to making payments or providing benefits which will be newly implemented in FY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the Grantee doesn't have policy in place to protect against improper payments when making payments or providing benefits on behalf of clients, what supplementary steps is the Grantee taking to ensure program integrity.</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2385"/>
        </w:trPr>
        <w:tc>
          <w:tcPr>
            <w:tcW w:w="3040" w:type="dxa"/>
            <w:tcBorders>
              <w:top w:val="nil"/>
              <w:left w:val="single" w:sz="8" w:space="0" w:color="auto"/>
              <w:bottom w:val="single" w:sz="8" w:space="0" w:color="auto"/>
              <w:right w:val="single" w:sz="4" w:space="0" w:color="auto"/>
            </w:tcBorders>
            <w:shd w:val="clear" w:color="auto" w:fill="auto"/>
            <w:vAlign w:val="center"/>
          </w:tcPr>
          <w:p w:rsidR="003214F1" w:rsidRDefault="003214F1" w:rsidP="003214F1">
            <w:pPr>
              <w:rPr>
                <w:rFonts w:asciiTheme="minorHAnsi" w:hAnsiTheme="minorHAnsi"/>
                <w:sz w:val="20"/>
                <w:szCs w:val="20"/>
              </w:rPr>
            </w:pPr>
            <w:r w:rsidRPr="00666C9C">
              <w:rPr>
                <w:rFonts w:asciiTheme="minorHAnsi" w:hAnsiTheme="minorHAnsi"/>
                <w:sz w:val="20"/>
                <w:szCs w:val="20"/>
              </w:rPr>
              <w:t>Wyoming requires all fuel vendors to re-register with the State each year.  State LIEAP policy states: “Fuel suppliers shall abide with the Statement of Assurances for Home Energy Suppliers, which LIEAP mails to fuel suppliers on a yearly basis….”  Fuel suppliers must also complete a WOLFS 109 form prior to the beginning of each season.  All WOLFS 109 and Statement of Assurances are verified prior to re-opening or opening a fuel suppliers’ account for payment processing.  See attached State LIEAP policy for detailed policy re: payment of LIEAP benefits to fuel suppliers on behalf of eligible clients.</w:t>
            </w:r>
          </w:p>
          <w:p w:rsidR="003214F1" w:rsidRDefault="003214F1" w:rsidP="003214F1">
            <w:pPr>
              <w:rPr>
                <w:rFonts w:asciiTheme="minorHAnsi" w:hAnsiTheme="minorHAnsi"/>
                <w:sz w:val="20"/>
                <w:szCs w:val="20"/>
              </w:rPr>
            </w:pPr>
          </w:p>
          <w:p w:rsidR="00E74B6E" w:rsidRDefault="003214F1" w:rsidP="003214F1">
            <w:pPr>
              <w:rPr>
                <w:rFonts w:ascii="Calibri" w:hAnsi="Calibri" w:cs="Arial"/>
                <w:i/>
                <w:iCs/>
                <w:sz w:val="20"/>
                <w:szCs w:val="20"/>
              </w:rPr>
            </w:pPr>
            <w:r>
              <w:rPr>
                <w:rFonts w:asciiTheme="minorHAnsi" w:hAnsiTheme="minorHAnsi"/>
                <w:sz w:val="20"/>
                <w:szCs w:val="20"/>
              </w:rPr>
              <w:t>Benefits are computed and tracked based on information input by LIHEAP processers.  The computer system does the calculations and is able to convert income to monthly and annual amounts for eligibility purposes.</w:t>
            </w:r>
          </w:p>
        </w:tc>
        <w:tc>
          <w:tcPr>
            <w:tcW w:w="2860" w:type="dxa"/>
            <w:tcBorders>
              <w:top w:val="nil"/>
              <w:left w:val="nil"/>
              <w:bottom w:val="single" w:sz="8" w:space="0" w:color="auto"/>
              <w:right w:val="single" w:sz="4" w:space="0" w:color="auto"/>
            </w:tcBorders>
            <w:shd w:val="clear" w:color="auto" w:fill="auto"/>
            <w:vAlign w:val="center"/>
          </w:tcPr>
          <w:p w:rsidR="003214F1" w:rsidRDefault="00E74B6E" w:rsidP="003214F1">
            <w:pPr>
              <w:rPr>
                <w:rFonts w:asciiTheme="minorHAnsi" w:hAnsiTheme="minorHAnsi"/>
                <w:sz w:val="20"/>
                <w:szCs w:val="20"/>
              </w:rPr>
            </w:pPr>
            <w:r>
              <w:rPr>
                <w:rFonts w:ascii="Calibri" w:hAnsi="Calibri" w:cs="Arial"/>
                <w:sz w:val="20"/>
                <w:szCs w:val="20"/>
              </w:rPr>
              <w:t> </w:t>
            </w:r>
            <w:r w:rsidR="003214F1" w:rsidRPr="00666C9C">
              <w:rPr>
                <w:rFonts w:asciiTheme="minorHAnsi" w:hAnsiTheme="minorHAnsi" w:cs="Arial"/>
                <w:sz w:val="20"/>
                <w:szCs w:val="20"/>
              </w:rPr>
              <w:t xml:space="preserve">  </w:t>
            </w:r>
            <w:r w:rsidR="003214F1" w:rsidRPr="00666C9C">
              <w:rPr>
                <w:rFonts w:asciiTheme="minorHAnsi" w:hAnsiTheme="minorHAnsi"/>
                <w:sz w:val="20"/>
                <w:szCs w:val="20"/>
              </w:rPr>
              <w:t xml:space="preserve"> No new implementations in FY 201</w:t>
            </w:r>
            <w:r w:rsidR="003214F1">
              <w:rPr>
                <w:rFonts w:asciiTheme="minorHAnsi" w:hAnsiTheme="minorHAnsi"/>
                <w:sz w:val="20"/>
                <w:szCs w:val="20"/>
              </w:rPr>
              <w:t>4</w:t>
            </w:r>
            <w:r w:rsidR="003214F1" w:rsidRPr="00666C9C">
              <w:rPr>
                <w:rFonts w:asciiTheme="minorHAnsi" w:hAnsiTheme="minorHAnsi"/>
                <w:sz w:val="20"/>
                <w:szCs w:val="20"/>
              </w:rPr>
              <w:t>.</w:t>
            </w:r>
          </w:p>
          <w:p w:rsidR="00E74B6E" w:rsidRDefault="00E74B6E" w:rsidP="00E74B6E">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3214F1" w:rsidRPr="00666C9C">
              <w:rPr>
                <w:rFonts w:asciiTheme="minorHAnsi" w:hAnsiTheme="minorHAnsi" w:cs="Arial"/>
                <w:sz w:val="20"/>
                <w:szCs w:val="20"/>
              </w:rPr>
              <w:t xml:space="preserve">  N/A</w:t>
            </w:r>
          </w:p>
        </w:tc>
        <w:tc>
          <w:tcPr>
            <w:tcW w:w="2288" w:type="dxa"/>
            <w:tcBorders>
              <w:top w:val="nil"/>
              <w:left w:val="single" w:sz="4"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i/>
                <w:iCs/>
                <w:color w:val="0000FF"/>
                <w:sz w:val="20"/>
                <w:szCs w:val="20"/>
              </w:rPr>
            </w:pPr>
            <w:r>
              <w:rPr>
                <w:rFonts w:ascii="Calibri" w:hAnsi="Calibri" w:cs="Arial"/>
                <w:i/>
                <w:iCs/>
                <w:sz w:val="20"/>
                <w:szCs w:val="20"/>
              </w:rPr>
              <w:t>Authorized energy vendors are receiving payments on behalf of LIHEAP eligible clients</w:t>
            </w:r>
            <w:r>
              <w:rPr>
                <w:rFonts w:ascii="Calibri" w:hAnsi="Calibri" w:cs="Arial"/>
                <w:i/>
                <w:iCs/>
                <w:color w:val="0000FF"/>
                <w:sz w:val="20"/>
                <w:szCs w:val="20"/>
              </w:rPr>
              <w:t>.</w:t>
            </w:r>
          </w:p>
        </w:tc>
      </w:tr>
      <w:tr w:rsidR="00E74B6E" w:rsidTr="00E74B6E">
        <w:trPr>
          <w:trHeight w:val="270"/>
        </w:trPr>
        <w:tc>
          <w:tcPr>
            <w:tcW w:w="304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288" w:type="dxa"/>
            <w:tcBorders>
              <w:top w:val="nil"/>
              <w:left w:val="nil"/>
              <w:bottom w:val="nil"/>
              <w:right w:val="single" w:sz="8" w:space="0" w:color="auto"/>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r>
    </w:tbl>
    <w:p w:rsidR="00E74B6E" w:rsidRDefault="00451674" w:rsidP="00E74B6E">
      <w:pPr>
        <w:ind w:hanging="1260"/>
        <w:outlineLvl w:val="0"/>
        <w:rPr>
          <w:rFonts w:ascii="Calibri" w:hAnsi="Calibri"/>
          <w:sz w:val="20"/>
          <w:szCs w:val="20"/>
        </w:rPr>
      </w:pPr>
      <w:r>
        <w:rPr>
          <w:rFonts w:ascii="Calibri" w:hAnsi="Calibri"/>
          <w:sz w:val="20"/>
          <w:szCs w:val="20"/>
        </w:rPr>
        <w:t>Attachment – page 5</w:t>
      </w:r>
    </w:p>
    <w:p w:rsidR="00E74B6E" w:rsidRDefault="00E74B6E" w:rsidP="00E74B6E">
      <w:pPr>
        <w:ind w:hanging="1260"/>
      </w:pPr>
      <w:r>
        <w:br w:type="page"/>
      </w:r>
    </w:p>
    <w:tbl>
      <w:tblPr>
        <w:tblpPr w:leftFromText="180" w:rightFromText="180" w:vertAnchor="text" w:horzAnchor="margin" w:tblpXSpec="center" w:tblpY="116"/>
        <w:tblW w:w="11088" w:type="dxa"/>
        <w:tblLook w:val="0000"/>
      </w:tblPr>
      <w:tblGrid>
        <w:gridCol w:w="3040"/>
        <w:gridCol w:w="2860"/>
        <w:gridCol w:w="2900"/>
        <w:gridCol w:w="2288"/>
      </w:tblGrid>
      <w:tr w:rsidR="00E74B6E" w:rsidTr="00E74B6E">
        <w:trPr>
          <w:trHeight w:val="405"/>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PROCEDURES FOR UNREGULATED ENERGY VENDORS</w:t>
            </w:r>
          </w:p>
        </w:tc>
      </w:tr>
      <w:tr w:rsidR="00E74B6E" w:rsidTr="00E74B6E">
        <w:trPr>
          <w:trHeight w:val="1717"/>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Describe the Grantee's FY </w:t>
            </w:r>
            <w:r w:rsidR="00404B95">
              <w:rPr>
                <w:rFonts w:ascii="Calibri" w:hAnsi="Calibri" w:cs="Arial"/>
                <w:b/>
                <w:bCs/>
                <w:sz w:val="20"/>
                <w:szCs w:val="20"/>
              </w:rPr>
              <w:t>2013</w:t>
            </w:r>
            <w:r>
              <w:rPr>
                <w:rFonts w:ascii="Calibri" w:hAnsi="Calibri" w:cs="Arial"/>
                <w:b/>
                <w:bCs/>
                <w:sz w:val="20"/>
                <w:szCs w:val="20"/>
              </w:rPr>
              <w:t xml:space="preserve"> procedures continuing in FY </w:t>
            </w:r>
            <w:r w:rsidR="00404B95">
              <w:rPr>
                <w:rFonts w:ascii="Calibri" w:hAnsi="Calibri" w:cs="Arial"/>
                <w:b/>
                <w:bCs/>
                <w:sz w:val="20"/>
                <w:szCs w:val="20"/>
              </w:rPr>
              <w:t>2014</w:t>
            </w:r>
            <w:r>
              <w:rPr>
                <w:rFonts w:ascii="Calibri" w:hAnsi="Calibri" w:cs="Arial"/>
                <w:b/>
                <w:bCs/>
                <w:sz w:val="20"/>
                <w:szCs w:val="20"/>
              </w:rPr>
              <w:t xml:space="preserve"> for averting fraud and improper payments when dealing with bulk fuel dealers of heating oil, propane, wood and other un-regulated energy utilities. </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Please highlight any strategies policy in this area which will be newly implemented in FY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you don't have a firm plan for averting fraud when dealing with unregulated energy vendors, please describe how the Grantee is ensuring program integrity.</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1545"/>
        </w:trPr>
        <w:tc>
          <w:tcPr>
            <w:tcW w:w="3040" w:type="dxa"/>
            <w:tcBorders>
              <w:top w:val="nil"/>
              <w:left w:val="single" w:sz="8" w:space="0" w:color="auto"/>
              <w:bottom w:val="single" w:sz="8" w:space="0" w:color="auto"/>
              <w:right w:val="single" w:sz="4" w:space="0" w:color="auto"/>
            </w:tcBorders>
            <w:shd w:val="clear" w:color="auto" w:fill="auto"/>
            <w:vAlign w:val="center"/>
          </w:tcPr>
          <w:p w:rsidR="00E74B6E" w:rsidRDefault="003214F1" w:rsidP="00E74B6E">
            <w:pPr>
              <w:rPr>
                <w:rFonts w:ascii="Calibri" w:hAnsi="Calibri" w:cs="Arial"/>
                <w:i/>
                <w:iCs/>
                <w:sz w:val="20"/>
                <w:szCs w:val="20"/>
              </w:rPr>
            </w:pPr>
            <w:r w:rsidRPr="00666C9C">
              <w:rPr>
                <w:rFonts w:asciiTheme="minorHAnsi" w:hAnsiTheme="minorHAnsi"/>
                <w:sz w:val="20"/>
                <w:szCs w:val="20"/>
              </w:rPr>
              <w:t>Wyoming uses the same procedure for non-regulated fuel providers as for regulated fuel providers.  Additionally, for some types of Crisis assistance, Wyoming requires that a Crisis Pre-Authorization Form be completed first and sent to the fuel vendor prior to approval.  There is a form for both regulated and non-regulated.</w:t>
            </w:r>
          </w:p>
        </w:tc>
        <w:tc>
          <w:tcPr>
            <w:tcW w:w="2860" w:type="dxa"/>
            <w:tcBorders>
              <w:top w:val="nil"/>
              <w:left w:val="nil"/>
              <w:bottom w:val="single" w:sz="8" w:space="0" w:color="auto"/>
              <w:right w:val="single" w:sz="4"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3214F1" w:rsidRPr="00666C9C">
              <w:rPr>
                <w:rFonts w:asciiTheme="minorHAnsi" w:hAnsiTheme="minorHAnsi"/>
                <w:sz w:val="20"/>
                <w:szCs w:val="20"/>
              </w:rPr>
              <w:t xml:space="preserve"> No changes for FY 201</w:t>
            </w:r>
            <w:r w:rsidR="003214F1">
              <w:rPr>
                <w:rFonts w:asciiTheme="minorHAnsi" w:hAnsiTheme="minorHAnsi"/>
                <w:sz w:val="20"/>
                <w:szCs w:val="20"/>
              </w:rPr>
              <w:t>4</w:t>
            </w:r>
            <w:r w:rsidR="003214F1" w:rsidRPr="00666C9C">
              <w:rPr>
                <w:rFonts w:asciiTheme="minorHAnsi" w:hAnsiTheme="minorHAnsi"/>
                <w:sz w:val="20"/>
                <w:szCs w:val="20"/>
              </w:rPr>
              <w:t>.</w:t>
            </w:r>
          </w:p>
        </w:tc>
        <w:tc>
          <w:tcPr>
            <w:tcW w:w="2900" w:type="dxa"/>
            <w:tcBorders>
              <w:top w:val="nil"/>
              <w:left w:val="nil"/>
              <w:bottom w:val="single" w:sz="8" w:space="0" w:color="auto"/>
              <w:right w:val="single" w:sz="8"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3214F1" w:rsidRPr="00666C9C">
              <w:rPr>
                <w:rFonts w:asciiTheme="minorHAnsi" w:hAnsiTheme="minorHAnsi" w:cs="Arial"/>
                <w:sz w:val="20"/>
                <w:szCs w:val="20"/>
              </w:rPr>
              <w:t xml:space="preserve">  N/A</w:t>
            </w:r>
          </w:p>
        </w:tc>
        <w:tc>
          <w:tcPr>
            <w:tcW w:w="2288" w:type="dxa"/>
            <w:tcBorders>
              <w:top w:val="nil"/>
              <w:left w:val="single" w:sz="4"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i/>
                <w:iCs/>
                <w:color w:val="0000FF"/>
                <w:sz w:val="20"/>
                <w:szCs w:val="20"/>
              </w:rPr>
            </w:pPr>
            <w:r>
              <w:rPr>
                <w:rFonts w:ascii="Calibri" w:hAnsi="Calibri" w:cs="Arial"/>
                <w:i/>
                <w:iCs/>
                <w:sz w:val="20"/>
                <w:szCs w:val="20"/>
              </w:rPr>
              <w:t>Participating vendors are thoroughly researched and inspected before benefits are issued</w:t>
            </w:r>
            <w:r>
              <w:rPr>
                <w:rFonts w:ascii="Calibri" w:hAnsi="Calibri" w:cs="Arial"/>
                <w:i/>
                <w:iCs/>
                <w:color w:val="0000FF"/>
                <w:sz w:val="20"/>
                <w:szCs w:val="20"/>
              </w:rPr>
              <w:t>.</w:t>
            </w:r>
          </w:p>
        </w:tc>
      </w:tr>
      <w:tr w:rsidR="00E74B6E" w:rsidTr="00E74B6E">
        <w:trPr>
          <w:trHeight w:val="315"/>
        </w:trPr>
        <w:tc>
          <w:tcPr>
            <w:tcW w:w="304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86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900"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c>
          <w:tcPr>
            <w:tcW w:w="2288" w:type="dxa"/>
            <w:tcBorders>
              <w:top w:val="nil"/>
              <w:left w:val="single" w:sz="8" w:space="0" w:color="auto"/>
              <w:bottom w:val="nil"/>
              <w:right w:val="nil"/>
            </w:tcBorders>
            <w:shd w:val="clear" w:color="auto" w:fill="000000"/>
            <w:noWrap/>
            <w:vAlign w:val="bottom"/>
          </w:tcPr>
          <w:p w:rsidR="00E74B6E" w:rsidRDefault="00E74B6E" w:rsidP="00E74B6E">
            <w:pPr>
              <w:rPr>
                <w:rFonts w:ascii="Calibri" w:hAnsi="Calibri" w:cs="Arial"/>
                <w:sz w:val="20"/>
                <w:szCs w:val="20"/>
              </w:rPr>
            </w:pPr>
            <w:r>
              <w:rPr>
                <w:rFonts w:ascii="Calibri" w:hAnsi="Calibri" w:cs="Arial"/>
                <w:sz w:val="20"/>
                <w:szCs w:val="20"/>
              </w:rPr>
              <w:t> </w:t>
            </w:r>
          </w:p>
        </w:tc>
      </w:tr>
      <w:tr w:rsidR="00E74B6E" w:rsidTr="00E74B6E">
        <w:trPr>
          <w:trHeight w:val="360"/>
        </w:trPr>
        <w:tc>
          <w:tcPr>
            <w:tcW w:w="11088"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E74B6E" w:rsidRDefault="00E74B6E" w:rsidP="00E74B6E">
            <w:pPr>
              <w:rPr>
                <w:rFonts w:ascii="Calibri" w:hAnsi="Calibri" w:cs="Arial"/>
                <w:b/>
                <w:bCs/>
              </w:rPr>
            </w:pPr>
            <w:r>
              <w:rPr>
                <w:rFonts w:ascii="Calibri" w:hAnsi="Calibri" w:cs="Arial"/>
                <w:b/>
                <w:bCs/>
              </w:rPr>
              <w:t>VERIFYING THE AUTHENTICITY OF ENERGY VENDORS</w:t>
            </w:r>
          </w:p>
        </w:tc>
      </w:tr>
      <w:tr w:rsidR="00E74B6E" w:rsidTr="00E74B6E">
        <w:trPr>
          <w:trHeight w:val="1663"/>
        </w:trPr>
        <w:tc>
          <w:tcPr>
            <w:tcW w:w="3040" w:type="dxa"/>
            <w:tcBorders>
              <w:top w:val="nil"/>
              <w:left w:val="single" w:sz="8" w:space="0" w:color="auto"/>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Describe Grantee FY </w:t>
            </w:r>
            <w:r w:rsidR="00404B95">
              <w:rPr>
                <w:rFonts w:ascii="Calibri" w:hAnsi="Calibri" w:cs="Arial"/>
                <w:b/>
                <w:bCs/>
                <w:sz w:val="20"/>
                <w:szCs w:val="20"/>
              </w:rPr>
              <w:t>2013</w:t>
            </w:r>
            <w:r>
              <w:rPr>
                <w:rFonts w:ascii="Calibri" w:hAnsi="Calibri" w:cs="Arial"/>
                <w:b/>
                <w:bCs/>
                <w:sz w:val="20"/>
                <w:szCs w:val="20"/>
              </w:rPr>
              <w:t xml:space="preserve"> policies continuing in FY </w:t>
            </w:r>
            <w:r w:rsidR="00404B95">
              <w:rPr>
                <w:rFonts w:ascii="Calibri" w:hAnsi="Calibri" w:cs="Arial"/>
                <w:b/>
                <w:bCs/>
                <w:sz w:val="20"/>
                <w:szCs w:val="20"/>
              </w:rPr>
              <w:t>2014</w:t>
            </w:r>
            <w:r>
              <w:rPr>
                <w:rFonts w:ascii="Calibri" w:hAnsi="Calibri" w:cs="Arial"/>
                <w:b/>
                <w:bCs/>
                <w:sz w:val="20"/>
                <w:szCs w:val="20"/>
              </w:rPr>
              <w:t xml:space="preserve"> for verifying the authenticity of energy vendors being paid under LIHEAP, as part of the Grantee’s procedure for averting fraud.</w:t>
            </w:r>
          </w:p>
        </w:tc>
        <w:tc>
          <w:tcPr>
            <w:tcW w:w="2860" w:type="dxa"/>
            <w:tcBorders>
              <w:top w:val="nil"/>
              <w:left w:val="nil"/>
              <w:bottom w:val="single" w:sz="8" w:space="0" w:color="auto"/>
              <w:right w:val="single" w:sz="4"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 xml:space="preserve">Please highlight any policies for verifying vendor authenticity which will be newly implemented in FY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If you don't have a system in place for verifying vendor authenticity, please describe how the Grantee can ensure that funds are being distributed through valid intermediaries?</w:t>
            </w:r>
          </w:p>
        </w:tc>
        <w:tc>
          <w:tcPr>
            <w:tcW w:w="2288" w:type="dxa"/>
            <w:tcBorders>
              <w:top w:val="nil"/>
              <w:left w:val="single" w:sz="8" w:space="0" w:color="auto"/>
              <w:bottom w:val="single" w:sz="8" w:space="0" w:color="auto"/>
              <w:right w:val="single" w:sz="8" w:space="0" w:color="auto"/>
            </w:tcBorders>
            <w:shd w:val="clear" w:color="auto" w:fill="C0C0C0"/>
            <w:vAlign w:val="center"/>
          </w:tcPr>
          <w:p w:rsidR="00E74B6E" w:rsidRDefault="00E74B6E" w:rsidP="00E74B6E">
            <w:pPr>
              <w:rPr>
                <w:rFonts w:ascii="Calibri" w:hAnsi="Calibri" w:cs="Arial"/>
                <w:b/>
                <w:bCs/>
                <w:sz w:val="20"/>
                <w:szCs w:val="20"/>
              </w:rPr>
            </w:pPr>
            <w:r>
              <w:rPr>
                <w:rFonts w:ascii="Calibri" w:hAnsi="Calibri" w:cs="Arial"/>
                <w:b/>
                <w:bCs/>
                <w:sz w:val="20"/>
                <w:szCs w:val="20"/>
              </w:rPr>
              <w:t>Necessary outcomes from these systems and strategies</w:t>
            </w:r>
          </w:p>
        </w:tc>
      </w:tr>
      <w:tr w:rsidR="00E74B6E" w:rsidTr="00E74B6E">
        <w:trPr>
          <w:trHeight w:val="1960"/>
        </w:trPr>
        <w:tc>
          <w:tcPr>
            <w:tcW w:w="3040" w:type="dxa"/>
            <w:tcBorders>
              <w:top w:val="nil"/>
              <w:left w:val="single" w:sz="8" w:space="0" w:color="auto"/>
              <w:right w:val="single" w:sz="4" w:space="0" w:color="auto"/>
            </w:tcBorders>
            <w:shd w:val="clear" w:color="auto" w:fill="auto"/>
            <w:vAlign w:val="center"/>
          </w:tcPr>
          <w:p w:rsidR="003214F1" w:rsidRDefault="003214F1" w:rsidP="003214F1">
            <w:pPr>
              <w:rPr>
                <w:rFonts w:asciiTheme="minorHAnsi" w:hAnsiTheme="minorHAnsi"/>
                <w:sz w:val="20"/>
                <w:szCs w:val="20"/>
              </w:rPr>
            </w:pPr>
            <w:r w:rsidRPr="006829E5">
              <w:rPr>
                <w:rFonts w:asciiTheme="minorHAnsi" w:hAnsiTheme="minorHAnsi"/>
                <w:sz w:val="20"/>
                <w:szCs w:val="20"/>
              </w:rPr>
              <w:t xml:space="preserve">Wyoming requires all fuel vendors to re-register with the State each year.  State LIEAP policy states: “Fuel suppliers shall abide with the Statement of Assurances for Home Energy Suppliers, which LIEAP mails to fuel suppliers on a yearly basis….”  Fuel suppliers must also complete a WOLFS 109 form prior to the beginning of each season.  All WOLFS 109 and Statement of Assurances are verified prior to re-opening or opening a fuel suppliers’ account for payment processing.  </w:t>
            </w:r>
          </w:p>
          <w:p w:rsidR="00E74B6E" w:rsidRDefault="00E74B6E" w:rsidP="00E74B6E">
            <w:pPr>
              <w:rPr>
                <w:rFonts w:ascii="Calibri" w:hAnsi="Calibri" w:cs="Arial"/>
                <w:i/>
                <w:iCs/>
                <w:sz w:val="20"/>
                <w:szCs w:val="20"/>
              </w:rPr>
            </w:pPr>
          </w:p>
        </w:tc>
        <w:tc>
          <w:tcPr>
            <w:tcW w:w="2860" w:type="dxa"/>
            <w:tcBorders>
              <w:top w:val="nil"/>
              <w:left w:val="nil"/>
              <w:right w:val="single" w:sz="4"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3214F1" w:rsidRPr="006829E5">
              <w:rPr>
                <w:rFonts w:asciiTheme="minorHAnsi" w:hAnsiTheme="minorHAnsi"/>
                <w:sz w:val="20"/>
                <w:szCs w:val="20"/>
              </w:rPr>
              <w:t xml:space="preserve"> No changes for FY 201</w:t>
            </w:r>
            <w:r w:rsidR="003214F1">
              <w:rPr>
                <w:rFonts w:asciiTheme="minorHAnsi" w:hAnsiTheme="minorHAnsi"/>
                <w:sz w:val="20"/>
                <w:szCs w:val="20"/>
              </w:rPr>
              <w:t>4</w:t>
            </w:r>
            <w:r w:rsidR="003214F1" w:rsidRPr="006829E5">
              <w:rPr>
                <w:rFonts w:asciiTheme="minorHAnsi" w:hAnsiTheme="minorHAnsi"/>
                <w:sz w:val="20"/>
                <w:szCs w:val="20"/>
              </w:rPr>
              <w:t>.</w:t>
            </w:r>
          </w:p>
        </w:tc>
        <w:tc>
          <w:tcPr>
            <w:tcW w:w="2900" w:type="dxa"/>
            <w:tcBorders>
              <w:top w:val="nil"/>
              <w:left w:val="nil"/>
              <w:right w:val="single" w:sz="8" w:space="0" w:color="auto"/>
            </w:tcBorders>
            <w:shd w:val="clear" w:color="auto" w:fill="auto"/>
            <w:vAlign w:val="center"/>
          </w:tcPr>
          <w:p w:rsidR="00E74B6E" w:rsidRDefault="00E74B6E" w:rsidP="00E74B6E">
            <w:pPr>
              <w:rPr>
                <w:rFonts w:ascii="Calibri" w:hAnsi="Calibri" w:cs="Arial"/>
                <w:sz w:val="20"/>
                <w:szCs w:val="20"/>
              </w:rPr>
            </w:pPr>
            <w:r>
              <w:rPr>
                <w:rFonts w:ascii="Calibri" w:hAnsi="Calibri" w:cs="Arial"/>
                <w:sz w:val="20"/>
                <w:szCs w:val="20"/>
              </w:rPr>
              <w:t> </w:t>
            </w:r>
            <w:r w:rsidR="003214F1" w:rsidRPr="006829E5">
              <w:rPr>
                <w:rFonts w:asciiTheme="minorHAnsi" w:hAnsiTheme="minorHAnsi" w:cs="Arial"/>
                <w:sz w:val="20"/>
                <w:szCs w:val="20"/>
              </w:rPr>
              <w:t xml:space="preserve"> N/A</w:t>
            </w:r>
          </w:p>
        </w:tc>
        <w:tc>
          <w:tcPr>
            <w:tcW w:w="2288" w:type="dxa"/>
            <w:tcBorders>
              <w:top w:val="nil"/>
              <w:left w:val="single" w:sz="4" w:space="0" w:color="auto"/>
              <w:right w:val="single" w:sz="8" w:space="0" w:color="auto"/>
            </w:tcBorders>
            <w:shd w:val="clear" w:color="auto" w:fill="C0C0C0"/>
            <w:vAlign w:val="center"/>
          </w:tcPr>
          <w:p w:rsidR="00E74B6E" w:rsidRDefault="00E74B6E" w:rsidP="00E74B6E">
            <w:pPr>
              <w:rPr>
                <w:rFonts w:ascii="Calibri" w:hAnsi="Calibri" w:cs="Arial"/>
                <w:i/>
                <w:iCs/>
                <w:sz w:val="20"/>
                <w:szCs w:val="20"/>
              </w:rPr>
            </w:pPr>
            <w:r>
              <w:rPr>
                <w:rFonts w:ascii="Calibri" w:hAnsi="Calibri" w:cs="Arial"/>
                <w:i/>
                <w:iCs/>
                <w:sz w:val="20"/>
                <w:szCs w:val="20"/>
              </w:rPr>
              <w:t>An effective process that effectively confirms the existence of entities receiving federal funds.</w:t>
            </w:r>
          </w:p>
        </w:tc>
      </w:tr>
      <w:tr w:rsidR="00E74B6E" w:rsidTr="00E74B6E">
        <w:trPr>
          <w:trHeight w:val="357"/>
        </w:trPr>
        <w:tc>
          <w:tcPr>
            <w:tcW w:w="3040" w:type="dxa"/>
            <w:tcBorders>
              <w:top w:val="nil"/>
              <w:left w:val="single" w:sz="8" w:space="0" w:color="auto"/>
              <w:bottom w:val="single" w:sz="8" w:space="0" w:color="auto"/>
              <w:right w:val="single" w:sz="4" w:space="0" w:color="auto"/>
            </w:tcBorders>
            <w:shd w:val="clear" w:color="auto" w:fill="000000"/>
            <w:vAlign w:val="center"/>
          </w:tcPr>
          <w:p w:rsidR="00E74B6E" w:rsidRDefault="00E74B6E" w:rsidP="00E74B6E">
            <w:pPr>
              <w:rPr>
                <w:rFonts w:ascii="Calibri" w:hAnsi="Calibri" w:cs="Arial"/>
                <w:i/>
                <w:iCs/>
                <w:sz w:val="20"/>
                <w:szCs w:val="20"/>
              </w:rPr>
            </w:pPr>
          </w:p>
        </w:tc>
        <w:tc>
          <w:tcPr>
            <w:tcW w:w="2860" w:type="dxa"/>
            <w:tcBorders>
              <w:top w:val="nil"/>
              <w:left w:val="nil"/>
              <w:bottom w:val="single" w:sz="8" w:space="0" w:color="auto"/>
              <w:right w:val="single" w:sz="4" w:space="0" w:color="auto"/>
            </w:tcBorders>
            <w:shd w:val="clear" w:color="auto" w:fill="000000"/>
            <w:vAlign w:val="center"/>
          </w:tcPr>
          <w:p w:rsidR="00E74B6E" w:rsidRDefault="00E74B6E" w:rsidP="00E74B6E">
            <w:pPr>
              <w:rPr>
                <w:rFonts w:ascii="Calibri" w:hAnsi="Calibri" w:cs="Arial"/>
                <w:sz w:val="20"/>
                <w:szCs w:val="20"/>
              </w:rPr>
            </w:pPr>
          </w:p>
        </w:tc>
        <w:tc>
          <w:tcPr>
            <w:tcW w:w="2900" w:type="dxa"/>
            <w:tcBorders>
              <w:top w:val="nil"/>
              <w:left w:val="nil"/>
              <w:bottom w:val="single" w:sz="8" w:space="0" w:color="auto"/>
              <w:right w:val="single" w:sz="8" w:space="0" w:color="auto"/>
            </w:tcBorders>
            <w:shd w:val="clear" w:color="auto" w:fill="000000"/>
            <w:vAlign w:val="center"/>
          </w:tcPr>
          <w:p w:rsidR="00E74B6E" w:rsidRDefault="00E74B6E" w:rsidP="00E74B6E">
            <w:pPr>
              <w:rPr>
                <w:rFonts w:ascii="Calibri" w:hAnsi="Calibri" w:cs="Arial"/>
                <w:sz w:val="20"/>
                <w:szCs w:val="20"/>
              </w:rPr>
            </w:pPr>
          </w:p>
        </w:tc>
        <w:tc>
          <w:tcPr>
            <w:tcW w:w="2288" w:type="dxa"/>
            <w:tcBorders>
              <w:top w:val="nil"/>
              <w:left w:val="single" w:sz="4" w:space="0" w:color="auto"/>
              <w:bottom w:val="single" w:sz="8" w:space="0" w:color="auto"/>
              <w:right w:val="single" w:sz="8" w:space="0" w:color="auto"/>
            </w:tcBorders>
            <w:shd w:val="clear" w:color="auto" w:fill="000000"/>
            <w:vAlign w:val="center"/>
          </w:tcPr>
          <w:p w:rsidR="00E74B6E" w:rsidRDefault="00E74B6E" w:rsidP="00E74B6E">
            <w:pPr>
              <w:rPr>
                <w:rFonts w:ascii="Calibri" w:hAnsi="Calibri" w:cs="Arial"/>
                <w:i/>
                <w:iCs/>
                <w:sz w:val="20"/>
                <w:szCs w:val="20"/>
              </w:rPr>
            </w:pPr>
          </w:p>
        </w:tc>
      </w:tr>
    </w:tbl>
    <w:p w:rsidR="00451674" w:rsidRDefault="00451674" w:rsidP="00451674">
      <w:pPr>
        <w:ind w:hanging="1260"/>
        <w:outlineLvl w:val="0"/>
        <w:rPr>
          <w:rFonts w:ascii="Calibri" w:hAnsi="Calibri"/>
          <w:sz w:val="20"/>
          <w:szCs w:val="20"/>
        </w:rPr>
      </w:pPr>
      <w:r>
        <w:rPr>
          <w:rFonts w:ascii="Calibri" w:hAnsi="Calibri"/>
          <w:sz w:val="20"/>
          <w:szCs w:val="20"/>
        </w:rPr>
        <w:t>Attachment – page 6</w:t>
      </w:r>
    </w:p>
    <w:p w:rsidR="004C4FF0" w:rsidRDefault="004C4FF0"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p w:rsidR="00451674" w:rsidRDefault="00451674" w:rsidP="004C4FF0">
      <w:pPr>
        <w:rPr>
          <w:rFonts w:ascii="Calibri" w:hAnsi="Calibri"/>
          <w:sz w:val="20"/>
          <w:szCs w:val="20"/>
        </w:rPr>
      </w:pPr>
    </w:p>
    <w:tbl>
      <w:tblPr>
        <w:tblW w:w="10860" w:type="dxa"/>
        <w:tblInd w:w="-1103" w:type="dxa"/>
        <w:tblLook w:val="0000"/>
      </w:tblPr>
      <w:tblGrid>
        <w:gridCol w:w="3040"/>
        <w:gridCol w:w="2860"/>
        <w:gridCol w:w="2900"/>
        <w:gridCol w:w="2060"/>
      </w:tblGrid>
      <w:tr w:rsidR="004C4FF0" w:rsidTr="00E74B6E">
        <w:trPr>
          <w:trHeight w:val="420"/>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4C4FF0" w:rsidRDefault="004C4FF0" w:rsidP="004C4FF0">
            <w:pPr>
              <w:rPr>
                <w:rFonts w:ascii="Calibri" w:hAnsi="Calibri" w:cs="Arial"/>
                <w:b/>
                <w:bCs/>
              </w:rPr>
            </w:pPr>
            <w:r>
              <w:rPr>
                <w:rFonts w:ascii="Calibri" w:hAnsi="Calibri" w:cs="Arial"/>
                <w:b/>
                <w:bCs/>
              </w:rPr>
              <w:t>TRAINING AND TECHNICAL ASSISTANCE</w:t>
            </w:r>
          </w:p>
        </w:tc>
      </w:tr>
      <w:tr w:rsidR="004C4FF0" w:rsidTr="00E74B6E">
        <w:trPr>
          <w:trHeight w:val="3075"/>
        </w:trPr>
        <w:tc>
          <w:tcPr>
            <w:tcW w:w="3040" w:type="dxa"/>
            <w:tcBorders>
              <w:top w:val="nil"/>
              <w:left w:val="single" w:sz="8" w:space="0" w:color="auto"/>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In regards to fraud prevention, please describe elements of your FY</w:t>
            </w:r>
            <w:r w:rsidR="00BB3B75">
              <w:rPr>
                <w:rFonts w:ascii="Calibri" w:hAnsi="Calibri" w:cs="Arial"/>
                <w:b/>
                <w:bCs/>
                <w:sz w:val="20"/>
                <w:szCs w:val="20"/>
              </w:rPr>
              <w:t xml:space="preserve"> </w:t>
            </w:r>
            <w:r w:rsidR="00404B95">
              <w:rPr>
                <w:rFonts w:ascii="Calibri" w:hAnsi="Calibri" w:cs="Arial"/>
                <w:b/>
                <w:bCs/>
                <w:sz w:val="20"/>
                <w:szCs w:val="20"/>
              </w:rPr>
              <w:t>2013</w:t>
            </w:r>
            <w:r>
              <w:rPr>
                <w:rFonts w:ascii="Calibri" w:hAnsi="Calibri" w:cs="Arial"/>
                <w:b/>
                <w:bCs/>
                <w:sz w:val="20"/>
                <w:szCs w:val="20"/>
              </w:rPr>
              <w:t xml:space="preserve"> plan continuing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 xml:space="preserve"> for training and providing technical assistance to (a) employees, (b) non-governmental staff involved in the eligibility process, (c) clients, and (d</w:t>
            </w:r>
            <w:r w:rsidR="00BB3B75">
              <w:rPr>
                <w:rFonts w:ascii="Calibri" w:hAnsi="Calibri" w:cs="Arial"/>
                <w:b/>
                <w:bCs/>
                <w:sz w:val="20"/>
                <w:szCs w:val="20"/>
              </w:rPr>
              <w:t>) energy vendors.</w:t>
            </w:r>
            <w:r>
              <w:rPr>
                <w:rFonts w:ascii="Calibri" w:hAnsi="Calibri" w:cs="Arial"/>
                <w:b/>
                <w:bCs/>
                <w:sz w:val="20"/>
                <w:szCs w:val="20"/>
              </w:rPr>
              <w:t xml:space="preserve"> </w:t>
            </w:r>
          </w:p>
        </w:tc>
        <w:tc>
          <w:tcPr>
            <w:tcW w:w="2860" w:type="dxa"/>
            <w:tcBorders>
              <w:top w:val="nil"/>
              <w:left w:val="nil"/>
              <w:bottom w:val="single" w:sz="8" w:space="0" w:color="auto"/>
              <w:right w:val="single" w:sz="4"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Please highlight specific elements of your training regiment and technical assistance resources from your plan which will represent newly implemented in FY</w:t>
            </w:r>
            <w:r w:rsidR="00BB3B75">
              <w:rPr>
                <w:rFonts w:ascii="Calibri" w:hAnsi="Calibri" w:cs="Arial"/>
                <w:b/>
                <w:bCs/>
                <w:sz w:val="20"/>
                <w:szCs w:val="20"/>
              </w:rPr>
              <w:t xml:space="preserve"> </w:t>
            </w:r>
            <w:r w:rsidR="00404B95">
              <w:rPr>
                <w:rFonts w:ascii="Calibri" w:hAnsi="Calibri" w:cs="Arial"/>
                <w:b/>
                <w:bCs/>
                <w:sz w:val="20"/>
                <w:szCs w:val="20"/>
              </w:rPr>
              <w:t>2014</w:t>
            </w:r>
            <w:r>
              <w:rPr>
                <w:rFonts w:ascii="Calibri" w:hAnsi="Calibri" w:cs="Arial"/>
                <w:b/>
                <w:bCs/>
                <w:sz w:val="20"/>
                <w:szCs w:val="20"/>
              </w:rPr>
              <w:t>.</w:t>
            </w:r>
          </w:p>
        </w:tc>
        <w:tc>
          <w:tcPr>
            <w:tcW w:w="2900" w:type="dxa"/>
            <w:tcBorders>
              <w:top w:val="nil"/>
              <w:left w:val="nil"/>
              <w:bottom w:val="single" w:sz="8" w:space="0" w:color="auto"/>
              <w:right w:val="nil"/>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If you don't have a system in place for anti-fraud training or technical assistance for employees, clients or energy vendors, please describe your strategy for ensuring all employees understand what is expected of them and what tactics they are permitted to employ.</w:t>
            </w:r>
          </w:p>
        </w:tc>
        <w:tc>
          <w:tcPr>
            <w:tcW w:w="2060" w:type="dxa"/>
            <w:tcBorders>
              <w:top w:val="nil"/>
              <w:left w:val="single" w:sz="8" w:space="0" w:color="auto"/>
              <w:bottom w:val="single" w:sz="8" w:space="0" w:color="auto"/>
              <w:right w:val="single" w:sz="8" w:space="0" w:color="auto"/>
            </w:tcBorders>
            <w:shd w:val="clear" w:color="auto" w:fill="C0C0C0"/>
            <w:vAlign w:val="center"/>
          </w:tcPr>
          <w:p w:rsidR="004C4FF0" w:rsidRDefault="004C4FF0"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3214F1" w:rsidTr="00E74B6E">
        <w:trPr>
          <w:trHeight w:val="2025"/>
        </w:trPr>
        <w:tc>
          <w:tcPr>
            <w:tcW w:w="3040" w:type="dxa"/>
            <w:tcBorders>
              <w:top w:val="nil"/>
              <w:left w:val="single" w:sz="8" w:space="0" w:color="auto"/>
              <w:bottom w:val="single" w:sz="8" w:space="0" w:color="auto"/>
              <w:right w:val="single" w:sz="4" w:space="0" w:color="auto"/>
            </w:tcBorders>
            <w:shd w:val="clear" w:color="auto" w:fill="auto"/>
            <w:vAlign w:val="center"/>
          </w:tcPr>
          <w:p w:rsidR="003214F1" w:rsidRDefault="003214F1" w:rsidP="004C4FF0">
            <w:pPr>
              <w:rPr>
                <w:rFonts w:ascii="Calibri" w:hAnsi="Calibri" w:cs="Arial"/>
                <w:i/>
                <w:iCs/>
                <w:sz w:val="20"/>
                <w:szCs w:val="20"/>
              </w:rPr>
            </w:pPr>
            <w:r w:rsidRPr="006829E5">
              <w:rPr>
                <w:rFonts w:asciiTheme="minorHAnsi" w:hAnsiTheme="minorHAnsi"/>
                <w:sz w:val="20"/>
                <w:szCs w:val="20"/>
              </w:rPr>
              <w:t>The issue of fraud prevention has been included in our application materials, and has been included in training as it pertains to eligibility verifications. </w:t>
            </w:r>
          </w:p>
        </w:tc>
        <w:tc>
          <w:tcPr>
            <w:tcW w:w="2860" w:type="dxa"/>
            <w:tcBorders>
              <w:top w:val="nil"/>
              <w:left w:val="nil"/>
              <w:bottom w:val="single" w:sz="8" w:space="0" w:color="auto"/>
              <w:right w:val="single" w:sz="4" w:space="0" w:color="auto"/>
            </w:tcBorders>
            <w:shd w:val="clear" w:color="auto" w:fill="auto"/>
            <w:vAlign w:val="center"/>
          </w:tcPr>
          <w:p w:rsidR="003214F1" w:rsidRDefault="003214F1" w:rsidP="003214F1">
            <w:pPr>
              <w:rPr>
                <w:rFonts w:asciiTheme="minorHAnsi" w:hAnsiTheme="minorHAnsi" w:cs="Arial"/>
                <w:sz w:val="20"/>
                <w:szCs w:val="20"/>
              </w:rPr>
            </w:pPr>
            <w:r w:rsidRPr="006829E5">
              <w:rPr>
                <w:rFonts w:asciiTheme="minorHAnsi" w:hAnsiTheme="minorHAnsi" w:cs="Arial"/>
                <w:sz w:val="20"/>
                <w:szCs w:val="20"/>
              </w:rPr>
              <w:t> </w:t>
            </w:r>
            <w:r w:rsidRPr="006829E5">
              <w:rPr>
                <w:rFonts w:asciiTheme="minorHAnsi" w:hAnsiTheme="minorHAnsi"/>
                <w:sz w:val="20"/>
                <w:szCs w:val="20"/>
              </w:rPr>
              <w:t>As part of our FY20</w:t>
            </w:r>
            <w:r>
              <w:rPr>
                <w:rFonts w:asciiTheme="minorHAnsi" w:hAnsiTheme="minorHAnsi"/>
                <w:sz w:val="20"/>
                <w:szCs w:val="20"/>
              </w:rPr>
              <w:t>14</w:t>
            </w:r>
            <w:r w:rsidRPr="006829E5">
              <w:rPr>
                <w:rFonts w:asciiTheme="minorHAnsi" w:hAnsiTheme="minorHAnsi"/>
                <w:sz w:val="20"/>
                <w:szCs w:val="20"/>
              </w:rPr>
              <w:t xml:space="preserve"> training, we are including a stand-alone segment on fraud prevention.  This training will be provided to Contractor staff, State staff, and fuel vendors.</w:t>
            </w:r>
            <w:r>
              <w:rPr>
                <w:rFonts w:asciiTheme="minorHAnsi" w:hAnsiTheme="minorHAnsi"/>
                <w:sz w:val="20"/>
                <w:szCs w:val="20"/>
              </w:rPr>
              <w:t xml:space="preserve">  WY held a fuel vendor meeting in Casper on 8/28/2013 for training purposes.</w:t>
            </w:r>
          </w:p>
        </w:tc>
        <w:tc>
          <w:tcPr>
            <w:tcW w:w="2900" w:type="dxa"/>
            <w:tcBorders>
              <w:top w:val="nil"/>
              <w:left w:val="nil"/>
              <w:bottom w:val="single" w:sz="8" w:space="0" w:color="auto"/>
              <w:right w:val="single" w:sz="8" w:space="0" w:color="auto"/>
            </w:tcBorders>
            <w:shd w:val="clear" w:color="auto" w:fill="auto"/>
            <w:vAlign w:val="center"/>
          </w:tcPr>
          <w:p w:rsidR="003214F1" w:rsidRDefault="003214F1" w:rsidP="004C4FF0">
            <w:pPr>
              <w:rPr>
                <w:rFonts w:ascii="Calibri" w:hAnsi="Calibri" w:cs="Arial"/>
                <w:sz w:val="20"/>
                <w:szCs w:val="20"/>
              </w:rPr>
            </w:pPr>
            <w:r>
              <w:rPr>
                <w:rFonts w:ascii="Calibri" w:hAnsi="Calibri" w:cs="Arial"/>
                <w:sz w:val="20"/>
                <w:szCs w:val="20"/>
              </w:rPr>
              <w:t> </w:t>
            </w:r>
            <w:r w:rsidRPr="006829E5">
              <w:rPr>
                <w:rFonts w:asciiTheme="minorHAnsi" w:hAnsiTheme="minorHAnsi" w:cs="Arial"/>
                <w:sz w:val="20"/>
                <w:szCs w:val="20"/>
              </w:rPr>
              <w:t>N/A</w:t>
            </w:r>
          </w:p>
        </w:tc>
        <w:tc>
          <w:tcPr>
            <w:tcW w:w="2060" w:type="dxa"/>
            <w:tcBorders>
              <w:top w:val="nil"/>
              <w:left w:val="single" w:sz="4" w:space="0" w:color="auto"/>
              <w:bottom w:val="single" w:sz="8" w:space="0" w:color="auto"/>
              <w:right w:val="single" w:sz="8" w:space="0" w:color="auto"/>
            </w:tcBorders>
            <w:shd w:val="clear" w:color="auto" w:fill="C0C0C0"/>
            <w:vAlign w:val="center"/>
          </w:tcPr>
          <w:p w:rsidR="003214F1" w:rsidRDefault="003214F1" w:rsidP="004C4FF0">
            <w:pPr>
              <w:rPr>
                <w:rFonts w:ascii="Calibri" w:hAnsi="Calibri" w:cs="Arial"/>
                <w:i/>
                <w:iCs/>
                <w:sz w:val="20"/>
                <w:szCs w:val="20"/>
              </w:rPr>
            </w:pPr>
            <w:r>
              <w:rPr>
                <w:rFonts w:ascii="Calibri" w:hAnsi="Calibri" w:cs="Arial"/>
                <w:i/>
                <w:iCs/>
                <w:sz w:val="20"/>
                <w:szCs w:val="20"/>
              </w:rPr>
              <w:t>The timely and thorough resolution of weaknesses or reportable conditions as revealed by the audit.</w:t>
            </w:r>
          </w:p>
        </w:tc>
      </w:tr>
      <w:tr w:rsidR="003214F1" w:rsidTr="00E74B6E">
        <w:trPr>
          <w:trHeight w:val="270"/>
        </w:trPr>
        <w:tc>
          <w:tcPr>
            <w:tcW w:w="3040" w:type="dxa"/>
            <w:tcBorders>
              <w:top w:val="nil"/>
              <w:left w:val="single" w:sz="8" w:space="0" w:color="auto"/>
              <w:bottom w:val="nil"/>
              <w:right w:val="nil"/>
            </w:tcBorders>
            <w:shd w:val="clear" w:color="auto" w:fill="000000"/>
            <w:noWrap/>
            <w:vAlign w:val="bottom"/>
          </w:tcPr>
          <w:p w:rsidR="003214F1" w:rsidRDefault="003214F1" w:rsidP="004C4FF0">
            <w:pPr>
              <w:rPr>
                <w:rFonts w:ascii="Calibri" w:hAnsi="Calibri" w:cs="Arial"/>
                <w:sz w:val="20"/>
                <w:szCs w:val="20"/>
              </w:rPr>
            </w:pPr>
            <w:r>
              <w:rPr>
                <w:rFonts w:ascii="Calibri" w:hAnsi="Calibri" w:cs="Arial"/>
                <w:sz w:val="20"/>
                <w:szCs w:val="20"/>
              </w:rPr>
              <w:t> </w:t>
            </w:r>
          </w:p>
        </w:tc>
        <w:tc>
          <w:tcPr>
            <w:tcW w:w="2860" w:type="dxa"/>
            <w:tcBorders>
              <w:top w:val="nil"/>
              <w:left w:val="nil"/>
              <w:bottom w:val="nil"/>
              <w:right w:val="nil"/>
            </w:tcBorders>
            <w:shd w:val="clear" w:color="auto" w:fill="000000"/>
            <w:noWrap/>
            <w:vAlign w:val="bottom"/>
          </w:tcPr>
          <w:p w:rsidR="003214F1" w:rsidRDefault="003214F1" w:rsidP="004C4FF0">
            <w:pPr>
              <w:rPr>
                <w:rFonts w:ascii="Calibri" w:hAnsi="Calibri" w:cs="Arial"/>
                <w:sz w:val="20"/>
                <w:szCs w:val="20"/>
              </w:rPr>
            </w:pPr>
            <w:r>
              <w:rPr>
                <w:rFonts w:ascii="Calibri" w:hAnsi="Calibri" w:cs="Arial"/>
                <w:sz w:val="20"/>
                <w:szCs w:val="20"/>
              </w:rPr>
              <w:t> </w:t>
            </w:r>
          </w:p>
        </w:tc>
        <w:tc>
          <w:tcPr>
            <w:tcW w:w="2900" w:type="dxa"/>
            <w:tcBorders>
              <w:top w:val="nil"/>
              <w:left w:val="nil"/>
              <w:bottom w:val="nil"/>
              <w:right w:val="nil"/>
            </w:tcBorders>
            <w:shd w:val="clear" w:color="auto" w:fill="000000"/>
            <w:noWrap/>
            <w:vAlign w:val="bottom"/>
          </w:tcPr>
          <w:p w:rsidR="003214F1" w:rsidRDefault="003214F1" w:rsidP="004C4FF0">
            <w:pPr>
              <w:rPr>
                <w:rFonts w:ascii="Calibri" w:hAnsi="Calibri" w:cs="Arial"/>
                <w:sz w:val="20"/>
                <w:szCs w:val="20"/>
              </w:rPr>
            </w:pPr>
            <w:r>
              <w:rPr>
                <w:rFonts w:ascii="Calibri" w:hAnsi="Calibri" w:cs="Arial"/>
                <w:sz w:val="20"/>
                <w:szCs w:val="20"/>
              </w:rPr>
              <w:t> </w:t>
            </w:r>
          </w:p>
        </w:tc>
        <w:tc>
          <w:tcPr>
            <w:tcW w:w="2060" w:type="dxa"/>
            <w:tcBorders>
              <w:top w:val="nil"/>
              <w:left w:val="nil"/>
              <w:bottom w:val="nil"/>
              <w:right w:val="single" w:sz="8" w:space="0" w:color="auto"/>
            </w:tcBorders>
            <w:shd w:val="clear" w:color="auto" w:fill="000000"/>
            <w:noWrap/>
            <w:vAlign w:val="bottom"/>
          </w:tcPr>
          <w:p w:rsidR="003214F1" w:rsidRDefault="003214F1" w:rsidP="004C4FF0">
            <w:pPr>
              <w:rPr>
                <w:rFonts w:ascii="Calibri" w:hAnsi="Calibri" w:cs="Arial"/>
                <w:sz w:val="20"/>
                <w:szCs w:val="20"/>
              </w:rPr>
            </w:pPr>
            <w:r>
              <w:rPr>
                <w:rFonts w:ascii="Calibri" w:hAnsi="Calibri" w:cs="Arial"/>
                <w:sz w:val="20"/>
                <w:szCs w:val="20"/>
              </w:rPr>
              <w:t> </w:t>
            </w:r>
          </w:p>
        </w:tc>
      </w:tr>
      <w:tr w:rsidR="003214F1" w:rsidTr="00E74B6E">
        <w:trPr>
          <w:trHeight w:val="375"/>
        </w:trPr>
        <w:tc>
          <w:tcPr>
            <w:tcW w:w="10860" w:type="dxa"/>
            <w:gridSpan w:val="4"/>
            <w:tcBorders>
              <w:top w:val="single" w:sz="8" w:space="0" w:color="auto"/>
              <w:left w:val="single" w:sz="8" w:space="0" w:color="auto"/>
              <w:bottom w:val="single" w:sz="8" w:space="0" w:color="auto"/>
              <w:right w:val="single" w:sz="8" w:space="0" w:color="000000"/>
            </w:tcBorders>
            <w:shd w:val="clear" w:color="auto" w:fill="FFFFFF"/>
            <w:vAlign w:val="center"/>
          </w:tcPr>
          <w:p w:rsidR="003214F1" w:rsidRDefault="003214F1" w:rsidP="004C4FF0">
            <w:pPr>
              <w:rPr>
                <w:rFonts w:ascii="Calibri" w:hAnsi="Calibri" w:cs="Arial"/>
                <w:b/>
                <w:bCs/>
              </w:rPr>
            </w:pPr>
            <w:r>
              <w:rPr>
                <w:rFonts w:ascii="Calibri" w:hAnsi="Calibri" w:cs="Arial"/>
                <w:b/>
                <w:bCs/>
              </w:rPr>
              <w:t>AUDITS OF LOCAL ADMINISTERING AGENCIES</w:t>
            </w:r>
          </w:p>
        </w:tc>
      </w:tr>
      <w:tr w:rsidR="003214F1" w:rsidTr="00E74B6E">
        <w:trPr>
          <w:trHeight w:val="2014"/>
        </w:trPr>
        <w:tc>
          <w:tcPr>
            <w:tcW w:w="3040" w:type="dxa"/>
            <w:tcBorders>
              <w:top w:val="nil"/>
              <w:left w:val="single" w:sz="8" w:space="0" w:color="auto"/>
              <w:bottom w:val="single" w:sz="8" w:space="0" w:color="auto"/>
              <w:right w:val="single" w:sz="4" w:space="0" w:color="auto"/>
            </w:tcBorders>
            <w:shd w:val="clear" w:color="auto" w:fill="C0C0C0"/>
            <w:vAlign w:val="center"/>
          </w:tcPr>
          <w:p w:rsidR="003214F1" w:rsidRDefault="003214F1" w:rsidP="004C4FF0">
            <w:pPr>
              <w:rPr>
                <w:rFonts w:ascii="Calibri" w:hAnsi="Calibri" w:cs="Arial"/>
                <w:b/>
                <w:bCs/>
                <w:sz w:val="20"/>
                <w:szCs w:val="20"/>
              </w:rPr>
            </w:pPr>
            <w:r>
              <w:rPr>
                <w:rFonts w:ascii="Calibri" w:hAnsi="Calibri" w:cs="Arial"/>
                <w:b/>
                <w:bCs/>
                <w:sz w:val="20"/>
                <w:szCs w:val="20"/>
              </w:rPr>
              <w:t>Please describe the annual audit requirements in place for local administering agencies in FY 2013 that will continue into FY 2014.</w:t>
            </w:r>
          </w:p>
        </w:tc>
        <w:tc>
          <w:tcPr>
            <w:tcW w:w="2860" w:type="dxa"/>
            <w:tcBorders>
              <w:top w:val="nil"/>
              <w:left w:val="nil"/>
              <w:bottom w:val="single" w:sz="8" w:space="0" w:color="auto"/>
              <w:right w:val="single" w:sz="4" w:space="0" w:color="auto"/>
            </w:tcBorders>
            <w:shd w:val="clear" w:color="auto" w:fill="C0C0C0"/>
            <w:vAlign w:val="center"/>
          </w:tcPr>
          <w:p w:rsidR="003214F1" w:rsidRDefault="003214F1" w:rsidP="004C4FF0">
            <w:pPr>
              <w:rPr>
                <w:rFonts w:ascii="Calibri" w:hAnsi="Calibri" w:cs="Arial"/>
                <w:b/>
                <w:bCs/>
                <w:sz w:val="20"/>
                <w:szCs w:val="20"/>
              </w:rPr>
            </w:pPr>
            <w:r>
              <w:rPr>
                <w:rFonts w:ascii="Calibri" w:hAnsi="Calibri" w:cs="Arial"/>
                <w:b/>
                <w:bCs/>
                <w:sz w:val="20"/>
                <w:szCs w:val="20"/>
              </w:rPr>
              <w:t>Please describe new policies or strategies to be implemented in FY 2014.</w:t>
            </w:r>
          </w:p>
        </w:tc>
        <w:tc>
          <w:tcPr>
            <w:tcW w:w="2900" w:type="dxa"/>
            <w:tcBorders>
              <w:top w:val="nil"/>
              <w:left w:val="nil"/>
              <w:bottom w:val="single" w:sz="8" w:space="0" w:color="auto"/>
              <w:right w:val="single" w:sz="4" w:space="0" w:color="auto"/>
            </w:tcBorders>
            <w:shd w:val="clear" w:color="auto" w:fill="C0C0C0"/>
            <w:vAlign w:val="center"/>
          </w:tcPr>
          <w:p w:rsidR="003214F1" w:rsidRDefault="003214F1" w:rsidP="004C4FF0">
            <w:pPr>
              <w:rPr>
                <w:rFonts w:ascii="Calibri" w:hAnsi="Calibri" w:cs="Arial"/>
                <w:b/>
                <w:bCs/>
                <w:sz w:val="20"/>
                <w:szCs w:val="20"/>
              </w:rPr>
            </w:pPr>
            <w:r>
              <w:rPr>
                <w:rFonts w:ascii="Calibri" w:hAnsi="Calibri" w:cs="Arial"/>
                <w:b/>
                <w:bCs/>
                <w:sz w:val="20"/>
                <w:szCs w:val="20"/>
              </w:rPr>
              <w:t>If you don’t have specific audit requirements for local administering agencies, please explain how the Grantee will ensure that LIHEAP funds are properly audited under the Single Audit Act requirements.</w:t>
            </w:r>
          </w:p>
        </w:tc>
        <w:tc>
          <w:tcPr>
            <w:tcW w:w="2060" w:type="dxa"/>
            <w:tcBorders>
              <w:top w:val="nil"/>
              <w:left w:val="nil"/>
              <w:bottom w:val="single" w:sz="8" w:space="0" w:color="auto"/>
              <w:right w:val="single" w:sz="8" w:space="0" w:color="auto"/>
            </w:tcBorders>
            <w:shd w:val="clear" w:color="auto" w:fill="C0C0C0"/>
            <w:vAlign w:val="center"/>
          </w:tcPr>
          <w:p w:rsidR="003214F1" w:rsidRDefault="003214F1" w:rsidP="004C4FF0">
            <w:pPr>
              <w:rPr>
                <w:rFonts w:ascii="Calibri" w:hAnsi="Calibri" w:cs="Arial"/>
                <w:b/>
                <w:bCs/>
                <w:sz w:val="20"/>
                <w:szCs w:val="20"/>
              </w:rPr>
            </w:pPr>
            <w:r>
              <w:rPr>
                <w:rFonts w:ascii="Calibri" w:hAnsi="Calibri" w:cs="Arial"/>
                <w:b/>
                <w:bCs/>
                <w:sz w:val="20"/>
                <w:szCs w:val="20"/>
              </w:rPr>
              <w:t>Necessary outcomes from these systems and strategies</w:t>
            </w:r>
          </w:p>
        </w:tc>
      </w:tr>
      <w:tr w:rsidR="003214F1" w:rsidTr="00E74B6E">
        <w:trPr>
          <w:trHeight w:val="2025"/>
        </w:trPr>
        <w:tc>
          <w:tcPr>
            <w:tcW w:w="3040" w:type="dxa"/>
            <w:tcBorders>
              <w:top w:val="nil"/>
              <w:left w:val="single" w:sz="8" w:space="0" w:color="auto"/>
              <w:bottom w:val="single" w:sz="8" w:space="0" w:color="auto"/>
              <w:right w:val="single" w:sz="4" w:space="0" w:color="auto"/>
            </w:tcBorders>
            <w:shd w:val="clear" w:color="auto" w:fill="auto"/>
            <w:vAlign w:val="center"/>
          </w:tcPr>
          <w:p w:rsidR="003214F1" w:rsidRDefault="003214F1" w:rsidP="003214F1">
            <w:pPr>
              <w:rPr>
                <w:rFonts w:asciiTheme="minorHAnsi" w:hAnsiTheme="minorHAnsi"/>
                <w:sz w:val="20"/>
                <w:szCs w:val="20"/>
              </w:rPr>
            </w:pPr>
            <w:r w:rsidRPr="00A93788">
              <w:rPr>
                <w:rFonts w:asciiTheme="minorHAnsi" w:hAnsiTheme="minorHAnsi"/>
                <w:sz w:val="20"/>
                <w:szCs w:val="20"/>
              </w:rPr>
              <w:t>Wyoming has to follow the A-133 Audit requirements.</w:t>
            </w:r>
          </w:p>
          <w:p w:rsidR="003214F1" w:rsidRDefault="003214F1" w:rsidP="003214F1">
            <w:pPr>
              <w:rPr>
                <w:rFonts w:asciiTheme="minorHAnsi" w:hAnsiTheme="minorHAnsi"/>
                <w:sz w:val="20"/>
                <w:szCs w:val="20"/>
              </w:rPr>
            </w:pPr>
          </w:p>
          <w:p w:rsidR="003214F1" w:rsidRDefault="003214F1" w:rsidP="003214F1">
            <w:pPr>
              <w:rPr>
                <w:rFonts w:asciiTheme="minorHAnsi" w:hAnsiTheme="minorHAnsi"/>
                <w:sz w:val="20"/>
                <w:szCs w:val="20"/>
              </w:rPr>
            </w:pPr>
            <w:r>
              <w:rPr>
                <w:rFonts w:asciiTheme="minorHAnsi" w:hAnsiTheme="minorHAnsi"/>
                <w:sz w:val="20"/>
                <w:szCs w:val="20"/>
              </w:rPr>
              <w:t>The financial services division receives a copy of the independent audit and reviews to assure the A-133 requirements are met.</w:t>
            </w:r>
          </w:p>
          <w:p w:rsidR="003214F1" w:rsidRDefault="003214F1" w:rsidP="003214F1">
            <w:pPr>
              <w:rPr>
                <w:rFonts w:asciiTheme="minorHAnsi" w:hAnsiTheme="minorHAnsi"/>
                <w:sz w:val="20"/>
                <w:szCs w:val="20"/>
              </w:rPr>
            </w:pPr>
            <w:r>
              <w:rPr>
                <w:rFonts w:asciiTheme="minorHAnsi" w:hAnsiTheme="minorHAnsi"/>
                <w:sz w:val="20"/>
                <w:szCs w:val="20"/>
              </w:rPr>
              <w:t xml:space="preserve">Our contractor, Align, follows the same process for auditing case files used by the state agency.  They will pull a random selection of files reviewing at least 3-1/2% of the files processed for the season.  In addition, they are reviewing any file that is denied due to excess income to assure all processes were determined accurately.  </w:t>
            </w:r>
          </w:p>
          <w:p w:rsidR="003214F1" w:rsidRDefault="003214F1" w:rsidP="003214F1">
            <w:pPr>
              <w:rPr>
                <w:rFonts w:asciiTheme="minorHAnsi" w:hAnsiTheme="minorHAnsi"/>
                <w:sz w:val="20"/>
                <w:szCs w:val="20"/>
              </w:rPr>
            </w:pPr>
          </w:p>
          <w:p w:rsidR="003214F1" w:rsidRDefault="003214F1" w:rsidP="003214F1">
            <w:pPr>
              <w:rPr>
                <w:rFonts w:ascii="Calibri" w:hAnsi="Calibri" w:cs="Arial"/>
                <w:i/>
                <w:iCs/>
                <w:sz w:val="20"/>
                <w:szCs w:val="20"/>
              </w:rPr>
            </w:pPr>
            <w:r>
              <w:rPr>
                <w:rFonts w:asciiTheme="minorHAnsi" w:hAnsiTheme="minorHAnsi"/>
                <w:sz w:val="20"/>
                <w:szCs w:val="20"/>
              </w:rPr>
              <w:t>The state office has a QA unit that reviews a random selection of the files which Align reviews to assure accuracy and that the contractor is processing cases correctly.  The program manager periodically meets with the contractor to review processes, answer any questions and assure the contractor is meeting our goals and following the program requirements.</w:t>
            </w:r>
          </w:p>
        </w:tc>
        <w:tc>
          <w:tcPr>
            <w:tcW w:w="2860" w:type="dxa"/>
            <w:tcBorders>
              <w:top w:val="nil"/>
              <w:left w:val="nil"/>
              <w:bottom w:val="single" w:sz="8" w:space="0" w:color="auto"/>
              <w:right w:val="single" w:sz="4" w:space="0" w:color="auto"/>
            </w:tcBorders>
            <w:shd w:val="clear" w:color="auto" w:fill="auto"/>
            <w:vAlign w:val="center"/>
          </w:tcPr>
          <w:p w:rsidR="003214F1" w:rsidRDefault="003214F1" w:rsidP="004C4FF0">
            <w:pPr>
              <w:rPr>
                <w:rFonts w:ascii="Calibri" w:hAnsi="Calibri" w:cs="Arial"/>
                <w:sz w:val="20"/>
                <w:szCs w:val="20"/>
              </w:rPr>
            </w:pPr>
            <w:r>
              <w:rPr>
                <w:rFonts w:ascii="Calibri" w:hAnsi="Calibri" w:cs="Arial"/>
                <w:sz w:val="20"/>
                <w:szCs w:val="20"/>
              </w:rPr>
              <w:t> </w:t>
            </w:r>
            <w:r w:rsidRPr="00A93788">
              <w:rPr>
                <w:rFonts w:asciiTheme="minorHAnsi" w:hAnsiTheme="minorHAnsi" w:cs="Arial"/>
                <w:sz w:val="20"/>
                <w:szCs w:val="20"/>
              </w:rPr>
              <w:t> </w:t>
            </w:r>
            <w:r w:rsidRPr="00A93788">
              <w:rPr>
                <w:rFonts w:asciiTheme="minorHAnsi" w:hAnsiTheme="minorHAnsi"/>
                <w:sz w:val="20"/>
                <w:szCs w:val="20"/>
              </w:rPr>
              <w:t>No change for FY 201</w:t>
            </w:r>
            <w:r>
              <w:rPr>
                <w:rFonts w:asciiTheme="minorHAnsi" w:hAnsiTheme="minorHAnsi"/>
                <w:sz w:val="20"/>
                <w:szCs w:val="20"/>
              </w:rPr>
              <w:t>4.</w:t>
            </w:r>
          </w:p>
        </w:tc>
        <w:tc>
          <w:tcPr>
            <w:tcW w:w="2900" w:type="dxa"/>
            <w:tcBorders>
              <w:top w:val="nil"/>
              <w:left w:val="nil"/>
              <w:bottom w:val="single" w:sz="8" w:space="0" w:color="auto"/>
              <w:right w:val="single" w:sz="8" w:space="0" w:color="auto"/>
            </w:tcBorders>
            <w:shd w:val="clear" w:color="auto" w:fill="auto"/>
            <w:vAlign w:val="center"/>
          </w:tcPr>
          <w:p w:rsidR="003214F1" w:rsidRDefault="003214F1" w:rsidP="004C4FF0">
            <w:pPr>
              <w:rPr>
                <w:rFonts w:ascii="Calibri" w:hAnsi="Calibri" w:cs="Arial"/>
                <w:sz w:val="20"/>
                <w:szCs w:val="20"/>
              </w:rPr>
            </w:pPr>
            <w:r>
              <w:rPr>
                <w:rFonts w:ascii="Calibri" w:hAnsi="Calibri" w:cs="Arial"/>
                <w:sz w:val="20"/>
                <w:szCs w:val="20"/>
              </w:rPr>
              <w:t> </w:t>
            </w:r>
            <w:r w:rsidRPr="00A93788">
              <w:rPr>
                <w:rFonts w:asciiTheme="minorHAnsi" w:hAnsiTheme="minorHAnsi" w:cs="Arial"/>
                <w:sz w:val="20"/>
                <w:szCs w:val="20"/>
              </w:rPr>
              <w:t> </w:t>
            </w:r>
            <w:r w:rsidRPr="00A93788">
              <w:rPr>
                <w:rFonts w:asciiTheme="minorHAnsi" w:hAnsiTheme="minorHAnsi"/>
                <w:sz w:val="20"/>
                <w:szCs w:val="20"/>
              </w:rPr>
              <w:t>Wyoming follows the A-133 Audit requirements.</w:t>
            </w:r>
          </w:p>
        </w:tc>
        <w:tc>
          <w:tcPr>
            <w:tcW w:w="2060" w:type="dxa"/>
            <w:tcBorders>
              <w:top w:val="nil"/>
              <w:left w:val="single" w:sz="4" w:space="0" w:color="auto"/>
              <w:bottom w:val="single" w:sz="8" w:space="0" w:color="auto"/>
              <w:right w:val="single" w:sz="8" w:space="0" w:color="auto"/>
            </w:tcBorders>
            <w:shd w:val="clear" w:color="auto" w:fill="C0C0C0"/>
            <w:vAlign w:val="center"/>
          </w:tcPr>
          <w:p w:rsidR="003214F1" w:rsidRDefault="003214F1" w:rsidP="004C4FF0">
            <w:pPr>
              <w:rPr>
                <w:rFonts w:ascii="Calibri" w:hAnsi="Calibri" w:cs="Arial"/>
                <w:i/>
                <w:iCs/>
                <w:sz w:val="20"/>
                <w:szCs w:val="20"/>
              </w:rPr>
            </w:pPr>
            <w:r>
              <w:rPr>
                <w:rFonts w:ascii="Calibri" w:hAnsi="Calibri" w:cs="Arial"/>
                <w:i/>
                <w:iCs/>
                <w:sz w:val="20"/>
                <w:szCs w:val="20"/>
              </w:rPr>
              <w:t>Reduce improper payments, maintain local agency integrity, and benefits awarded to eligible households.</w:t>
            </w:r>
          </w:p>
        </w:tc>
      </w:tr>
    </w:tbl>
    <w:p w:rsidR="004C4FF0" w:rsidRDefault="004C4FF0" w:rsidP="004C4FF0">
      <w:pPr>
        <w:rPr>
          <w:rFonts w:ascii="Calibri" w:hAnsi="Calibri"/>
          <w:sz w:val="20"/>
          <w:szCs w:val="20"/>
        </w:rPr>
      </w:pPr>
    </w:p>
    <w:p w:rsidR="004C4FF0" w:rsidRDefault="004C4FF0" w:rsidP="004C4FF0">
      <w:pPr>
        <w:rPr>
          <w:rFonts w:ascii="Calibri" w:hAnsi="Calibri"/>
          <w:sz w:val="20"/>
          <w:szCs w:val="20"/>
        </w:rPr>
      </w:pPr>
    </w:p>
    <w:p w:rsidR="004C4FF0" w:rsidRDefault="004C4FF0" w:rsidP="00E74B6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Calibri" w:hAnsi="Calibri"/>
          <w:b/>
          <w:sz w:val="22"/>
          <w:szCs w:val="22"/>
          <w:u w:val="single"/>
        </w:rPr>
      </w:pPr>
      <w:r>
        <w:rPr>
          <w:rFonts w:ascii="Calibri" w:hAnsi="Calibri"/>
          <w:b/>
          <w:sz w:val="22"/>
          <w:szCs w:val="22"/>
          <w:u w:val="single"/>
        </w:rPr>
        <w:t>Additional Information</w:t>
      </w:r>
    </w:p>
    <w:p w:rsidR="004C4FF0" w:rsidRDefault="00237459" w:rsidP="00E74B6E">
      <w:pPr>
        <w:ind w:left="-1260"/>
        <w:rPr>
          <w:rFonts w:ascii="Calibri" w:hAnsi="Calibri"/>
          <w:sz w:val="22"/>
          <w:szCs w:val="22"/>
        </w:rPr>
      </w:pPr>
      <w:r>
        <w:rPr>
          <w:rFonts w:ascii="Calibri" w:hAnsi="Calibri"/>
          <w:sz w:val="22"/>
          <w:szCs w:val="22"/>
        </w:rPr>
        <w:t>No changes to supporting documents previously submitted.  Please refer to FY2013 State Plan for reference.</w:t>
      </w:r>
    </w:p>
    <w:p w:rsidR="00E74B6E" w:rsidRDefault="00E74B6E" w:rsidP="00E74B6E">
      <w:pPr>
        <w:ind w:hanging="1260"/>
        <w:outlineLvl w:val="0"/>
        <w:rPr>
          <w:rFonts w:ascii="Calibri" w:hAnsi="Calibri"/>
          <w:sz w:val="20"/>
          <w:szCs w:val="20"/>
        </w:rPr>
      </w:pPr>
    </w:p>
    <w:p w:rsidR="00E74B6E" w:rsidRDefault="00451674" w:rsidP="00E74B6E">
      <w:pPr>
        <w:ind w:hanging="1260"/>
        <w:outlineLvl w:val="0"/>
        <w:rPr>
          <w:rFonts w:ascii="Calibri" w:hAnsi="Calibri"/>
          <w:sz w:val="20"/>
          <w:szCs w:val="20"/>
        </w:rPr>
      </w:pPr>
      <w:r>
        <w:rPr>
          <w:rFonts w:ascii="Calibri" w:hAnsi="Calibri"/>
          <w:sz w:val="20"/>
          <w:szCs w:val="20"/>
        </w:rPr>
        <w:t>Attachment – page 7</w:t>
      </w:r>
    </w:p>
    <w:p w:rsidR="004C4FF0" w:rsidRDefault="004C4FF0"/>
    <w:sectPr w:rsidR="004C4FF0" w:rsidSect="00E74B6E">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F1" w:rsidRDefault="003214F1">
      <w:r>
        <w:separator/>
      </w:r>
    </w:p>
  </w:endnote>
  <w:endnote w:type="continuationSeparator" w:id="0">
    <w:p w:rsidR="003214F1" w:rsidRDefault="00321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F1" w:rsidRDefault="003214F1">
      <w:r>
        <w:separator/>
      </w:r>
    </w:p>
  </w:footnote>
  <w:footnote w:type="continuationSeparator" w:id="0">
    <w:p w:rsidR="003214F1" w:rsidRDefault="00321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1" w:rsidRDefault="003214F1" w:rsidP="00BE2C77">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r w:rsidRPr="00EF484B">
      <w:t xml:space="preserve">OMB Approval No. 0970-0075, Expiration Date: </w:t>
    </w:r>
    <w:r w:rsidR="00BE2C77">
      <w:t>04/30/2014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4C4FF0"/>
    <w:rsid w:val="00111283"/>
    <w:rsid w:val="00163E9A"/>
    <w:rsid w:val="00237459"/>
    <w:rsid w:val="002437C2"/>
    <w:rsid w:val="003214F1"/>
    <w:rsid w:val="0036613C"/>
    <w:rsid w:val="003B024B"/>
    <w:rsid w:val="003D25C3"/>
    <w:rsid w:val="00404B95"/>
    <w:rsid w:val="00451674"/>
    <w:rsid w:val="004C4FF0"/>
    <w:rsid w:val="00563135"/>
    <w:rsid w:val="00631DBF"/>
    <w:rsid w:val="006804F9"/>
    <w:rsid w:val="006E2F78"/>
    <w:rsid w:val="00773A38"/>
    <w:rsid w:val="007C08B8"/>
    <w:rsid w:val="00855E2E"/>
    <w:rsid w:val="008575BC"/>
    <w:rsid w:val="008E532A"/>
    <w:rsid w:val="00B21F00"/>
    <w:rsid w:val="00B33DCD"/>
    <w:rsid w:val="00BB07D9"/>
    <w:rsid w:val="00BB3B75"/>
    <w:rsid w:val="00BD3978"/>
    <w:rsid w:val="00BE2C77"/>
    <w:rsid w:val="00CC7E02"/>
    <w:rsid w:val="00E74B6E"/>
    <w:rsid w:val="00EB65D4"/>
    <w:rsid w:val="00F1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4FF0"/>
    <w:rPr>
      <w:b/>
      <w:bCs/>
    </w:rPr>
  </w:style>
  <w:style w:type="paragraph" w:styleId="Header">
    <w:name w:val="header"/>
    <w:basedOn w:val="Normal"/>
    <w:rsid w:val="00B33DCD"/>
    <w:pPr>
      <w:tabs>
        <w:tab w:val="center" w:pos="4320"/>
        <w:tab w:val="right" w:pos="8640"/>
      </w:tabs>
    </w:pPr>
  </w:style>
  <w:style w:type="paragraph" w:styleId="Footer">
    <w:name w:val="footer"/>
    <w:basedOn w:val="Normal"/>
    <w:rsid w:val="00B33DC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4FF0"/>
    <w:rPr>
      <w:b/>
      <w:bCs/>
    </w:rPr>
  </w:style>
  <w:style w:type="paragraph" w:styleId="Header">
    <w:name w:val="header"/>
    <w:basedOn w:val="Normal"/>
    <w:rsid w:val="00B33DCD"/>
    <w:pPr>
      <w:tabs>
        <w:tab w:val="center" w:pos="4320"/>
        <w:tab w:val="right" w:pos="8640"/>
      </w:tabs>
    </w:pPr>
  </w:style>
  <w:style w:type="paragraph" w:styleId="Footer">
    <w:name w:val="footer"/>
    <w:basedOn w:val="Normal"/>
    <w:rsid w:val="00B33DC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adline xmlns="7c88bcd4-3f7d-45e9-8449-1bca5fe023b4">5</Deadline>
    <ControlDate xmlns="7c88bcd4-3f7d-45e9-8449-1bca5fe023b4">2013-11-08T20:01:58+00:00</Control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4BD43001B76438FC585DEB2B64CB4" ma:contentTypeVersion="16" ma:contentTypeDescription="Create a new document." ma:contentTypeScope="" ma:versionID="9c13b29f2410f57e377a62ab5fc8917f">
  <xsd:schema xmlns:xsd="http://www.w3.org/2001/XMLSchema" xmlns:xs="http://www.w3.org/2001/XMLSchema" xmlns:p="http://schemas.microsoft.com/office/2006/metadata/properties" xmlns:ns2="7c88bcd4-3f7d-45e9-8449-1bca5fe023b4" targetNamespace="http://schemas.microsoft.com/office/2006/metadata/properties" ma:root="true" ma:fieldsID="c4d9b7bebbb892758ff224bd704e1bed" ns2:_="">
    <xsd:import namespace="7c88bcd4-3f7d-45e9-8449-1bca5fe023b4"/>
    <xsd:element name="properties">
      <xsd:complexType>
        <xsd:sequence>
          <xsd:element name="documentManagement">
            <xsd:complexType>
              <xsd:all>
                <xsd:element ref="ns2:Deadline" minOccurs="0"/>
                <xsd:element ref="ns2:Contro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8bcd4-3f7d-45e9-8449-1bca5fe023b4" elementFormDefault="qualified">
    <xsd:import namespace="http://schemas.microsoft.com/office/2006/documentManagement/types"/>
    <xsd:import namespace="http://schemas.microsoft.com/office/infopath/2007/PartnerControls"/>
    <xsd:element name="Deadline" ma:index="9" nillable="true" ma:displayName="Deadline" ma:default="2" ma:internalName="Deadline">
      <xsd:simpleType>
        <xsd:restriction base="dms:Number"/>
      </xsd:simpleType>
    </xsd:element>
    <xsd:element name="ControlDate" ma:index="10" nillable="true" ma:displayName="ControlDate" ma:default="[today]" ma:format="DateOnly" ma:internalName="Contro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2A781-8843-4F83-9763-87DE0AEB24A3}">
  <ds:schemaRefs>
    <ds:schemaRef ds:uri="http://schemas.microsoft.com/office/2006/metadata/properties"/>
    <ds:schemaRef ds:uri="http://schemas.microsoft.com/office/infopath/2007/PartnerControls"/>
    <ds:schemaRef ds:uri="7c88bcd4-3f7d-45e9-8449-1bca5fe023b4"/>
  </ds:schemaRefs>
</ds:datastoreItem>
</file>

<file path=customXml/itemProps2.xml><?xml version="1.0" encoding="utf-8"?>
<ds:datastoreItem xmlns:ds="http://schemas.openxmlformats.org/officeDocument/2006/customXml" ds:itemID="{A0E89AFE-7EB3-46F1-8CA9-EA1F3B73DB33}">
  <ds:schemaRefs>
    <ds:schemaRef ds:uri="http://schemas.microsoft.com/sharepoint/v3/contenttype/forms"/>
  </ds:schemaRefs>
</ds:datastoreItem>
</file>

<file path=customXml/itemProps3.xml><?xml version="1.0" encoding="utf-8"?>
<ds:datastoreItem xmlns:ds="http://schemas.openxmlformats.org/officeDocument/2006/customXml" ds:itemID="{0D11978C-285D-431D-8A19-B6AEE489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8bcd4-3f7d-45e9-8449-1bca5fe02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ATTACHMENT 1</vt:lpstr>
    </vt:vector>
  </TitlesOfParts>
  <Company>DHHS/OS</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USER</dc:creator>
  <cp:keywords/>
  <dc:description/>
  <cp:lastModifiedBy>travism</cp:lastModifiedBy>
  <cp:revision>2</cp:revision>
  <cp:lastPrinted>2010-11-06T01:07:00Z</cp:lastPrinted>
  <dcterms:created xsi:type="dcterms:W3CDTF">2013-11-13T15:22:00Z</dcterms:created>
  <dcterms:modified xsi:type="dcterms:W3CDTF">2013-11-13T15:22:00Z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0x0101008444BD43001B76438FC585DEB2B64CB4</vt:lpwstr>
  </property>
  <property fmtid="{D5CDD505-2E9C-101B-9397-08002B2CF9AE}" pid="3" name="Finished?">
    <vt:lpwstr>Not Started</vt:lpwstr>
  </property>
  <property fmtid="{D5CDD505-2E9C-101B-9397-08002B2CF9AE}" pid="4" name="Control Date">
    <vt:filetime>2013-09-05T21:15:35Z</vt:filetime>
  </property>
</Properties>
</file>